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5EFE" w14:textId="5A5C00B4" w:rsidR="0065487B" w:rsidRPr="00321C24" w:rsidRDefault="0035652A" w:rsidP="0065487B">
      <w:pPr>
        <w:spacing w:after="0" w:line="240" w:lineRule="auto"/>
        <w:jc w:val="center"/>
        <w:rPr>
          <w:rFonts w:ascii="Verdana" w:eastAsia="MS Mincho" w:hAnsi="Verdana" w:cs="Times New Roman"/>
          <w:bCs/>
          <w:sz w:val="20"/>
          <w:szCs w:val="24"/>
          <w:lang w:eastAsia="ja-JP"/>
        </w:rPr>
      </w:pPr>
      <w:r>
        <w:rPr>
          <w:rFonts w:ascii="Verdana" w:eastAsia="Times New Roman" w:hAnsi="Verdana" w:cs="Times New Roman"/>
          <w:bCs/>
          <w:sz w:val="20"/>
          <w:szCs w:val="24"/>
        </w:rPr>
        <w:t xml:space="preserve">INFORMAÇÕES COMPATÍVEIS COM O </w:t>
      </w:r>
      <w:r w:rsidR="0065487B" w:rsidRPr="00321C24">
        <w:rPr>
          <w:rFonts w:ascii="Verdana" w:eastAsia="MS Mincho" w:hAnsi="Verdana" w:cs="Times New Roman"/>
          <w:bCs/>
          <w:sz w:val="20"/>
          <w:szCs w:val="24"/>
        </w:rPr>
        <w:t>RESUMO DAS CARACTERÍSTICAS DO MEDICAMENTO</w:t>
      </w:r>
    </w:p>
    <w:p w14:paraId="4C4FFA88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334B1F74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64027C21" w14:textId="4B358430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NOME DO MEDICAMENTO</w:t>
      </w:r>
    </w:p>
    <w:p w14:paraId="4E60F9C5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795AD71A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concentrado para solução oral</w:t>
      </w:r>
    </w:p>
    <w:p w14:paraId="2CFAE6C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3074FEBF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135DA8AD" w14:textId="2D5CEA1B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COMPOSIÇÃO QUALITATIVA E QUANTITATIVA</w:t>
      </w:r>
    </w:p>
    <w:p w14:paraId="0B1CACA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66190252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Cada 25 ml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contêm as seguintes substâncias ativas:</w:t>
      </w:r>
    </w:p>
    <w:p w14:paraId="687AFAB3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Macrogol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3350</w:t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smartTag w:uri="urn:schemas-microsoft-com:office:smarttags" w:element="metricconverter">
        <w:smartTagPr>
          <w:attr w:name="ProductID" w:val="13,125 g"/>
        </w:smartTagPr>
        <w:r w:rsidRPr="0065487B">
          <w:rPr>
            <w:rFonts w:ascii="Verdana" w:eastAsia="MS Mincho" w:hAnsi="Verdana" w:cs="Times New Roman"/>
            <w:sz w:val="20"/>
            <w:szCs w:val="24"/>
          </w:rPr>
          <w:t>13,125 g</w:t>
        </w:r>
      </w:smartTag>
    </w:p>
    <w:p w14:paraId="50F088FB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Cloreto de sódio</w:t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  <w:t>0,3507 g</w:t>
      </w:r>
    </w:p>
    <w:p w14:paraId="36C3EAD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Bicarbonato de sódio</w:t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  <w:t>0,1785 g</w:t>
      </w:r>
    </w:p>
    <w:p w14:paraId="1515E66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Cloreto de potássio</w:t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</w:r>
      <w:r w:rsidRPr="0065487B">
        <w:rPr>
          <w:rFonts w:ascii="Verdana" w:eastAsia="MS Mincho" w:hAnsi="Verdana" w:cs="Times New Roman"/>
          <w:sz w:val="20"/>
          <w:szCs w:val="24"/>
        </w:rPr>
        <w:tab/>
        <w:t>0,0466 g</w:t>
      </w:r>
    </w:p>
    <w:p w14:paraId="04357150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1148C6C2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A concentração de eletrólitos presente quando uma dose de 25 ml é diluída até 125 ml de solução é a seguinte:</w:t>
      </w:r>
    </w:p>
    <w:p w14:paraId="2FFDB8E6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Sódio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65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/l</w:t>
      </w:r>
    </w:p>
    <w:p w14:paraId="33AB20C7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r w:rsidRPr="0065487B">
        <w:rPr>
          <w:rFonts w:ascii="Verdana" w:eastAsia="MS Mincho" w:hAnsi="Verdana" w:cs="Times New Roman"/>
          <w:sz w:val="20"/>
          <w:szCs w:val="24"/>
          <w:lang w:val="it-IT"/>
        </w:rPr>
        <w:t>Cloro</w:t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53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/l</w:t>
      </w:r>
    </w:p>
    <w:p w14:paraId="4715483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Potássio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5,4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/l</w:t>
      </w:r>
    </w:p>
    <w:p w14:paraId="16810CC0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r w:rsidRPr="0065487B">
        <w:rPr>
          <w:rFonts w:ascii="Verdana" w:eastAsia="MS Mincho" w:hAnsi="Verdana" w:cs="Times New Roman"/>
          <w:sz w:val="20"/>
          <w:szCs w:val="24"/>
          <w:lang w:val="it-IT"/>
        </w:rPr>
        <w:t>Bicarbonato</w:t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17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/l</w:t>
      </w:r>
    </w:p>
    <w:p w14:paraId="6FD2EB41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</w:p>
    <w:p w14:paraId="0997FDB9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Isto corresponde às seguintes quantidades de cada eletrólito em cada dose diluída de 125 ml:</w:t>
      </w:r>
    </w:p>
    <w:p w14:paraId="26ED6545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Sódio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              8,125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</w:p>
    <w:p w14:paraId="7C52D158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r w:rsidRPr="0065487B">
        <w:rPr>
          <w:rFonts w:ascii="Verdana" w:eastAsia="MS Mincho" w:hAnsi="Verdana" w:cs="Times New Roman"/>
          <w:sz w:val="20"/>
          <w:szCs w:val="24"/>
          <w:lang w:val="it-IT"/>
        </w:rPr>
        <w:t>Cloro</w:t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              6,625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</w:p>
    <w:p w14:paraId="10360F8A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Potássio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              0,675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</w:p>
    <w:p w14:paraId="04FECA46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  <w:r w:rsidRPr="0065487B">
        <w:rPr>
          <w:rFonts w:ascii="Verdana" w:eastAsia="MS Mincho" w:hAnsi="Verdana" w:cs="Times New Roman"/>
          <w:sz w:val="20"/>
          <w:szCs w:val="24"/>
          <w:lang w:val="it-IT"/>
        </w:rPr>
        <w:t>Bicarbonato</w:t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</w:r>
      <w:r w:rsidRPr="0065487B">
        <w:rPr>
          <w:rFonts w:ascii="Verdana" w:eastAsia="MS Mincho" w:hAnsi="Verdana" w:cs="Times New Roman"/>
          <w:sz w:val="20"/>
          <w:szCs w:val="24"/>
          <w:lang w:val="it-IT"/>
        </w:rPr>
        <w:tab/>
        <w:t xml:space="preserve">              2,125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>mmol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  <w:lang w:val="it-IT"/>
        </w:rPr>
        <w:t xml:space="preserve"> </w:t>
      </w:r>
    </w:p>
    <w:p w14:paraId="3DA28831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val="it-IT"/>
        </w:rPr>
      </w:pPr>
    </w:p>
    <w:p w14:paraId="1F4F9273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Excipientes com efeito conhecido:</w:t>
      </w:r>
    </w:p>
    <w:p w14:paraId="4AB206AA" w14:textId="347B02E6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74,</w:t>
      </w:r>
      <w:r w:rsidR="006F0A2E">
        <w:rPr>
          <w:rFonts w:ascii="Verdana" w:eastAsia="MS Mincho" w:hAnsi="Verdana" w:cs="Times New Roman"/>
          <w:sz w:val="20"/>
          <w:szCs w:val="24"/>
        </w:rPr>
        <w:t>6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 mg de etanol por 25 ml</w:t>
      </w:r>
    </w:p>
    <w:p w14:paraId="2AB68D23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11,3 mg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parahidroxibenzoato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de metilo (E218) por 25 ml</w:t>
      </w:r>
    </w:p>
    <w:p w14:paraId="38514857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5,6 mg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parahidroxibenzoato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de etilo (E214) por 25 ml</w:t>
      </w:r>
    </w:p>
    <w:p w14:paraId="2150F62B" w14:textId="77777777" w:rsidR="0065487B" w:rsidRDefault="00E23F5D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>
        <w:rPr>
          <w:rFonts w:ascii="Verdana" w:eastAsia="MS Mincho" w:hAnsi="Verdana" w:cs="Times New Roman"/>
          <w:sz w:val="20"/>
          <w:szCs w:val="24"/>
        </w:rPr>
        <w:t>45,6 mg de álcool benzílico por 25 ml</w:t>
      </w:r>
    </w:p>
    <w:p w14:paraId="3A008AD1" w14:textId="77777777" w:rsidR="00E23F5D" w:rsidRPr="0065487B" w:rsidRDefault="00E23F5D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21D50C31" w14:textId="411E7095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FORMA FARMACÊUTICA</w:t>
      </w:r>
    </w:p>
    <w:p w14:paraId="05417A76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3C03BF5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Concentrado para solução oral.</w:t>
      </w:r>
    </w:p>
    <w:p w14:paraId="76D0F2A0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Líquido límpido, incolor.</w:t>
      </w:r>
    </w:p>
    <w:p w14:paraId="48F8EBE5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</w:p>
    <w:p w14:paraId="09597B8C" w14:textId="47D1E9BB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Indicações terapêuticas</w:t>
      </w:r>
    </w:p>
    <w:p w14:paraId="48E56C52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2479640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Para o tratamento da obstipação crónica.</w:t>
      </w:r>
    </w:p>
    <w:p w14:paraId="60000D87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7D13E6D4" w14:textId="3E9D6319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Posologia e modo de administração</w:t>
      </w:r>
    </w:p>
    <w:p w14:paraId="7F8B5DB4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</w:p>
    <w:p w14:paraId="2096CAFD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Posologia</w:t>
      </w:r>
    </w:p>
    <w:p w14:paraId="53F6047B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Um período de tratamento da obstipação com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não excede, normalmente, as 2 semanas, embora possa ser repetido, se necessário.</w:t>
      </w:r>
    </w:p>
    <w:p w14:paraId="2016C1D8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Tal como para todos os laxantes, não se recomenda a utilização prolongada. Pode ser necessária uma utilização prolongada em doentes com obstipação crónica grave ou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lastRenderedPageBreak/>
        <w:t>refractária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, secundária à esclerose múltipla ou à doença de Parkinson ou provocada por uma medicação regular que cause obstipação, em particular, os opiáceos e os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antimuscarínicos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>.</w:t>
      </w:r>
    </w:p>
    <w:p w14:paraId="2417492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2C5EDE53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0D5111">
        <w:rPr>
          <w:rFonts w:ascii="Verdana" w:eastAsia="MS Mincho" w:hAnsi="Verdana" w:cs="Times New Roman"/>
          <w:bCs/>
          <w:sz w:val="20"/>
          <w:szCs w:val="24"/>
          <w:u w:val="single"/>
        </w:rPr>
        <w:t>Adultos, adolescentes e idosos</w:t>
      </w:r>
      <w:r w:rsidRPr="00321C24">
        <w:rPr>
          <w:rFonts w:ascii="Verdana" w:eastAsia="MS Mincho" w:hAnsi="Verdana" w:cs="Times New Roman"/>
          <w:bCs/>
          <w:sz w:val="20"/>
          <w:szCs w:val="24"/>
        </w:rPr>
        <w:t>: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 25 ml diluídos em 100 ml de água </w:t>
      </w:r>
      <w:smartTag w:uri="urn:schemas-microsoft-com:office:smarttags" w:element="metricconverter">
        <w:smartTagPr>
          <w:attr w:name="ProductID" w:val="1 a"/>
        </w:smartTagPr>
        <w:r w:rsidRPr="0065487B">
          <w:rPr>
            <w:rFonts w:ascii="Verdana" w:eastAsia="MS Mincho" w:hAnsi="Verdana" w:cs="Times New Roman"/>
            <w:sz w:val="20"/>
            <w:szCs w:val="24"/>
          </w:rPr>
          <w:t>1 a</w:t>
        </w:r>
      </w:smartTag>
      <w:r w:rsidRPr="0065487B">
        <w:rPr>
          <w:rFonts w:ascii="Verdana" w:eastAsia="MS Mincho" w:hAnsi="Verdana" w:cs="Times New Roman"/>
          <w:sz w:val="20"/>
          <w:szCs w:val="24"/>
        </w:rPr>
        <w:t xml:space="preserve"> 3 vezes por dia em doses divididas, de acordo com a resposta individual.</w:t>
      </w:r>
    </w:p>
    <w:p w14:paraId="4E83D89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Para uma utilização prolongada, a dose pode ser ajustada diminuindo-a para 1 ou 2 doses por dia de 25 ml diluídos em 100 ml de água.</w:t>
      </w:r>
    </w:p>
    <w:p w14:paraId="3319DD4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024B736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0D5111">
        <w:rPr>
          <w:rFonts w:ascii="Verdana" w:eastAsia="MS Mincho" w:hAnsi="Verdana" w:cs="Times New Roman"/>
          <w:bCs/>
          <w:sz w:val="20"/>
          <w:szCs w:val="24"/>
          <w:u w:val="single"/>
        </w:rPr>
        <w:t>Crianças</w:t>
      </w:r>
      <w:r w:rsidRPr="00321C24">
        <w:rPr>
          <w:rFonts w:ascii="Verdana" w:eastAsia="MS Mincho" w:hAnsi="Verdana" w:cs="Times New Roman"/>
          <w:bCs/>
          <w:sz w:val="20"/>
          <w:szCs w:val="24"/>
        </w:rPr>
        <w:t>: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não é recomendado para utilização em crianças com menos de 12 anos de idade. Estão disponíveis outras apresentações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para uso pediátrico.</w:t>
      </w:r>
    </w:p>
    <w:p w14:paraId="23979C4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0A53F3F2" w14:textId="733F077F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0D5111">
        <w:rPr>
          <w:rFonts w:ascii="Verdana" w:eastAsia="MS Mincho" w:hAnsi="Verdana" w:cs="Times New Roman"/>
          <w:bCs/>
          <w:sz w:val="20"/>
          <w:szCs w:val="24"/>
          <w:u w:val="single"/>
        </w:rPr>
        <w:t>Doentes com insuficiência renal</w:t>
      </w:r>
      <w:r w:rsidRPr="00321C24">
        <w:rPr>
          <w:rFonts w:ascii="Verdana" w:eastAsia="MS Mincho" w:hAnsi="Verdana" w:cs="Times New Roman"/>
          <w:bCs/>
          <w:sz w:val="20"/>
          <w:szCs w:val="24"/>
        </w:rPr>
        <w:t>: não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 é necessário alterar a dosagem para o tratamento da obstipação</w:t>
      </w:r>
      <w:r w:rsidR="00E23F5D">
        <w:rPr>
          <w:rFonts w:ascii="Verdana" w:eastAsia="MS Mincho" w:hAnsi="Verdana" w:cs="Times New Roman"/>
          <w:sz w:val="20"/>
          <w:szCs w:val="24"/>
        </w:rPr>
        <w:t xml:space="preserve"> (ver secção advertências sobre excipientes)</w:t>
      </w:r>
      <w:r w:rsidRPr="0065487B">
        <w:rPr>
          <w:rFonts w:ascii="Verdana" w:eastAsia="MS Mincho" w:hAnsi="Verdana" w:cs="Times New Roman"/>
          <w:sz w:val="20"/>
          <w:szCs w:val="24"/>
        </w:rPr>
        <w:t>.</w:t>
      </w:r>
    </w:p>
    <w:p w14:paraId="51C23759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22D22029" w14:textId="72548C48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proofErr w:type="spellStart"/>
      <w:r w:rsidRPr="000D5111">
        <w:rPr>
          <w:rFonts w:ascii="Verdana" w:eastAsia="MS Mincho" w:hAnsi="Verdana" w:cs="Times New Roman"/>
          <w:bCs/>
          <w:sz w:val="20"/>
          <w:szCs w:val="24"/>
          <w:u w:val="single"/>
        </w:rPr>
        <w:t>Impactação</w:t>
      </w:r>
      <w:proofErr w:type="spellEnd"/>
      <w:r w:rsidRPr="000D5111">
        <w:rPr>
          <w:rFonts w:ascii="Verdana" w:eastAsia="MS Mincho" w:hAnsi="Verdana" w:cs="Times New Roman"/>
          <w:bCs/>
          <w:sz w:val="20"/>
          <w:szCs w:val="24"/>
          <w:u w:val="single"/>
        </w:rPr>
        <w:t xml:space="preserve"> fecal</w:t>
      </w:r>
      <w:r w:rsidRPr="00321C24">
        <w:rPr>
          <w:rFonts w:ascii="Verdana" w:eastAsia="MS Mincho" w:hAnsi="Verdana" w:cs="Times New Roman"/>
          <w:bCs/>
          <w:sz w:val="20"/>
          <w:szCs w:val="24"/>
        </w:rPr>
        <w:t>: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não é recomendado para utilização no tratamento da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impactação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fecal (ver secção </w:t>
      </w:r>
      <w:r w:rsidR="000D5111">
        <w:rPr>
          <w:rFonts w:ascii="Verdana" w:eastAsia="MS Mincho" w:hAnsi="Verdana" w:cs="Times New Roman"/>
          <w:sz w:val="20"/>
          <w:szCs w:val="24"/>
        </w:rPr>
        <w:t>Advertências e Precauções Especiais de Utilização</w:t>
      </w:r>
      <w:r w:rsidRPr="0065487B">
        <w:rPr>
          <w:rFonts w:ascii="Verdana" w:eastAsia="MS Mincho" w:hAnsi="Verdana" w:cs="Times New Roman"/>
          <w:sz w:val="20"/>
          <w:szCs w:val="24"/>
        </w:rPr>
        <w:t xml:space="preserve">). Estão disponíveis outras apresentações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para o tratamento da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impactação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fecal.</w:t>
      </w:r>
    </w:p>
    <w:p w14:paraId="72287BAA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161D207F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 xml:space="preserve">Modo de administração </w:t>
      </w:r>
    </w:p>
    <w:p w14:paraId="767465C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6A72561E" w14:textId="3FF99B10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O medicamento não deve ser tomado puro e pode ser diluído apenas em água. Para obter instruções sobre a diluição do medicamento antes da administração, ver secção </w:t>
      </w:r>
      <w:r w:rsidR="000D5111" w:rsidRPr="00321C24">
        <w:rPr>
          <w:rFonts w:ascii="Verdana" w:eastAsia="MS Mincho" w:hAnsi="Verdana" w:cs="Times New Roman"/>
          <w:bCs/>
          <w:sz w:val="20"/>
          <w:szCs w:val="24"/>
        </w:rPr>
        <w:t>Precauções especiais de eliminação e manuseamento</w:t>
      </w:r>
      <w:r w:rsidRPr="0065487B">
        <w:rPr>
          <w:rFonts w:ascii="Verdana" w:eastAsia="MS Mincho" w:hAnsi="Verdana" w:cs="Times New Roman"/>
          <w:sz w:val="20"/>
          <w:szCs w:val="24"/>
        </w:rPr>
        <w:t>.</w:t>
      </w:r>
    </w:p>
    <w:p w14:paraId="3F5EA56C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</w:p>
    <w:p w14:paraId="2CFD08FC" w14:textId="38D1E3A5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Contraindicações</w:t>
      </w:r>
    </w:p>
    <w:p w14:paraId="024E82D8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18FE3D09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Perfuração ou obstrução intestinal devidas a perturbações estruturais ou funcionais da parede intestinal, íleo e situações inflamatórias graves do trato intestinal, como doença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Crohn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>, colite ulcerosa e megacólon tóxico.</w:t>
      </w:r>
    </w:p>
    <w:p w14:paraId="6C784E52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5E619EA4" w14:textId="0F6762AE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Hipersensibilidade às substâncias ativas ou a qualquer um dos excipientes mencionados na secção </w:t>
      </w:r>
      <w:r w:rsidR="000D5111">
        <w:rPr>
          <w:rFonts w:ascii="Verdana" w:eastAsia="MS Mincho" w:hAnsi="Verdana" w:cs="Times New Roman"/>
          <w:sz w:val="20"/>
          <w:szCs w:val="24"/>
        </w:rPr>
        <w:t>Lista de Excipientes</w:t>
      </w:r>
      <w:r w:rsidRPr="0065487B">
        <w:rPr>
          <w:rFonts w:ascii="Verdana" w:eastAsia="MS Mincho" w:hAnsi="Verdana" w:cs="Times New Roman"/>
          <w:sz w:val="20"/>
          <w:szCs w:val="24"/>
        </w:rPr>
        <w:t>.</w:t>
      </w:r>
    </w:p>
    <w:p w14:paraId="620FE759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172B1F25" w14:textId="43C0E6AE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Advertências e precauções especiais de utilização</w:t>
      </w:r>
    </w:p>
    <w:p w14:paraId="6C5691C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50244AA0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O conteúdo fluido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quando reconstituído com água não substitui</w:t>
      </w:r>
      <w:r w:rsidRPr="0065487B">
        <w:rPr>
          <w:rFonts w:ascii="Verdana" w:eastAsia="MS Mincho" w:hAnsi="Verdana" w:cs="Times New Roman"/>
          <w:sz w:val="20"/>
          <w:szCs w:val="24"/>
        </w:rPr>
        <w:br/>
        <w:t>a ingestão regular de líquidos e a adequada ingestão de líquidos deve ser mantida.</w:t>
      </w:r>
    </w:p>
    <w:p w14:paraId="1B4FBE5C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Podem ocorrer reações adversas moderadas, conforme indicado na secção 4.8. Se os doentes desenvolverem quaisquer sintomas que indiquem deslocações de líquidos/eletrólitos (por ex. edema, dificuldades respiratórias, fadiga aumentada, desidratação, insuficiência cardíaca), deve interromper-se imediatamente a administração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Laranja, proceder-se à determinação da concentração dos eletrólitos, e qualquer anomalia, deve ser tratada apropriadamente.</w:t>
      </w:r>
    </w:p>
    <w:p w14:paraId="5D4687EB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75D91A8F" w14:textId="2C1BDB24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A absorção de outros medicamentos pode ficar temporariamente reduzida devido ao aumento da taxa do trânsito gastrointestinal provocada por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(ver secção </w:t>
      </w:r>
      <w:r w:rsidR="000D5111" w:rsidRPr="00321C24">
        <w:rPr>
          <w:rFonts w:ascii="Verdana" w:eastAsia="MS Mincho" w:hAnsi="Verdana" w:cs="Times New Roman"/>
          <w:bCs/>
          <w:sz w:val="20"/>
          <w:szCs w:val="24"/>
        </w:rPr>
        <w:t>Interações medicamentosas e outras formas de interação</w:t>
      </w:r>
      <w:r w:rsidR="000D5111">
        <w:rPr>
          <w:rFonts w:ascii="Verdana" w:eastAsia="MS Mincho" w:hAnsi="Verdana" w:cs="Times New Roman"/>
          <w:bCs/>
          <w:sz w:val="20"/>
          <w:szCs w:val="24"/>
        </w:rPr>
        <w:t>)</w:t>
      </w:r>
      <w:r w:rsidRPr="0065487B">
        <w:rPr>
          <w:rFonts w:ascii="Verdana" w:eastAsia="MS Mincho" w:hAnsi="Verdana" w:cs="Times New Roman"/>
          <w:sz w:val="20"/>
          <w:szCs w:val="24"/>
        </w:rPr>
        <w:t>.</w:t>
      </w:r>
    </w:p>
    <w:p w14:paraId="24DCD823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475C77AD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41681432" w14:textId="77777777" w:rsid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lastRenderedPageBreak/>
        <w:t>Este medicamento contém 45,6 mg de álcool benzílico em cada dose de 25 ml</w:t>
      </w:r>
      <w:r w:rsidR="00B666E4">
        <w:rPr>
          <w:rFonts w:ascii="Verdana" w:eastAsia="MS Mincho" w:hAnsi="Verdana" w:cs="Times New Roman"/>
          <w:sz w:val="20"/>
          <w:szCs w:val="24"/>
        </w:rPr>
        <w:t xml:space="preserve"> que é equivalente a 1,825 mg/ml</w:t>
      </w:r>
      <w:r w:rsidRPr="0065487B">
        <w:rPr>
          <w:rFonts w:ascii="Verdana" w:eastAsia="MS Mincho" w:hAnsi="Verdana" w:cs="Times New Roman"/>
          <w:sz w:val="20"/>
          <w:szCs w:val="24"/>
        </w:rPr>
        <w:t>.</w:t>
      </w:r>
      <w:r w:rsidR="00B666E4">
        <w:rPr>
          <w:rFonts w:ascii="Verdana" w:eastAsia="MS Mincho" w:hAnsi="Verdana" w:cs="Times New Roman"/>
          <w:sz w:val="20"/>
          <w:szCs w:val="24"/>
        </w:rPr>
        <w:t xml:space="preserve"> O álcool benzílico pode originar reações </w:t>
      </w:r>
      <w:proofErr w:type="spellStart"/>
      <w:r w:rsidR="00B666E4">
        <w:rPr>
          <w:rFonts w:ascii="Verdana" w:eastAsia="MS Mincho" w:hAnsi="Verdana" w:cs="Times New Roman"/>
          <w:sz w:val="20"/>
          <w:szCs w:val="24"/>
        </w:rPr>
        <w:t>anafil</w:t>
      </w:r>
      <w:r w:rsidR="00330EED">
        <w:rPr>
          <w:rFonts w:ascii="Verdana" w:eastAsia="MS Mincho" w:hAnsi="Verdana" w:cs="Times New Roman"/>
          <w:sz w:val="20"/>
          <w:szCs w:val="24"/>
        </w:rPr>
        <w:t>actóides</w:t>
      </w:r>
      <w:proofErr w:type="spellEnd"/>
      <w:r w:rsidR="00B666E4">
        <w:rPr>
          <w:rFonts w:ascii="Verdana" w:eastAsia="MS Mincho" w:hAnsi="Verdana" w:cs="Times New Roman"/>
          <w:sz w:val="20"/>
          <w:szCs w:val="24"/>
        </w:rPr>
        <w:t>.</w:t>
      </w:r>
    </w:p>
    <w:p w14:paraId="50DB8EAA" w14:textId="77777777" w:rsidR="00B666E4" w:rsidRDefault="00B666E4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11FCFB0F" w14:textId="0210CE02" w:rsidR="00B666E4" w:rsidRDefault="00B666E4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>
        <w:rPr>
          <w:rFonts w:ascii="Verdana" w:eastAsia="MS Mincho" w:hAnsi="Verdana" w:cs="Times New Roman"/>
          <w:sz w:val="20"/>
          <w:szCs w:val="24"/>
        </w:rPr>
        <w:t>Quantidades elevadas de álcool benzílico devem ser utilizad</w:t>
      </w:r>
      <w:r w:rsidR="006F0A2E">
        <w:rPr>
          <w:rFonts w:ascii="Verdana" w:eastAsia="MS Mincho" w:hAnsi="Verdana" w:cs="Times New Roman"/>
          <w:sz w:val="20"/>
          <w:szCs w:val="24"/>
        </w:rPr>
        <w:t>a</w:t>
      </w:r>
      <w:r>
        <w:rPr>
          <w:rFonts w:ascii="Verdana" w:eastAsia="MS Mincho" w:hAnsi="Verdana" w:cs="Times New Roman"/>
          <w:sz w:val="20"/>
          <w:szCs w:val="24"/>
        </w:rPr>
        <w:t>s com cuidado e somente se necessário</w:t>
      </w:r>
      <w:r w:rsidR="0012175B">
        <w:rPr>
          <w:rFonts w:ascii="Verdana" w:eastAsia="MS Mincho" w:hAnsi="Verdana" w:cs="Times New Roman"/>
          <w:sz w:val="20"/>
          <w:szCs w:val="24"/>
        </w:rPr>
        <w:t xml:space="preserve">, especialmente em indivíduos com insuficiência renal ou hepática e durante a gravidez/amamentação dado o risco de acumulação e toxicidade (acidose metabólica) do álcool benzílico. </w:t>
      </w:r>
    </w:p>
    <w:p w14:paraId="579CC33B" w14:textId="77777777" w:rsidR="006F0A2E" w:rsidRDefault="006F0A2E" w:rsidP="006F0A2E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16C1D2CF" w14:textId="45E0AEC0" w:rsidR="006F0A2E" w:rsidRDefault="006F0A2E" w:rsidP="006F0A2E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>
        <w:rPr>
          <w:rFonts w:ascii="Verdana" w:eastAsia="MS Mincho" w:hAnsi="Verdana" w:cs="Times New Roman"/>
          <w:sz w:val="20"/>
          <w:szCs w:val="24"/>
        </w:rPr>
        <w:t>Este medicamento contém 74,6 mg de álcool (etanol) por 25 ml de concentrado para solução oral o que é equivalente a 3,0 mg de álcool (etanol) por ml. Esta quantidade em 25 ml de concentrado para solução oral é equivalente a menos de 2 ml de cerveja ou 1 ml de vinho. A pequena quantidade de álcool neste medicamento não terá quaisquer efeitos percetíveis.</w:t>
      </w:r>
    </w:p>
    <w:p w14:paraId="3138261F" w14:textId="77777777" w:rsidR="0012175B" w:rsidRPr="0065487B" w:rsidRDefault="0012175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521B4B87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Este produto contém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parahidroxibenzoatos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de etilo (E214) e metilo (E218) que pode causar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reacções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alérgicas, possivelmente retardadas.</w:t>
      </w:r>
    </w:p>
    <w:p w14:paraId="7C2D52D4" w14:textId="77777777" w:rsid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71CF9895" w14:textId="15765341" w:rsidR="00D5610D" w:rsidRPr="000472B9" w:rsidRDefault="00D5610D" w:rsidP="00D5610D">
      <w:pPr>
        <w:rPr>
          <w:rFonts w:ascii="Verdana" w:hAnsi="Verdana"/>
          <w:sz w:val="20"/>
          <w:szCs w:val="20"/>
        </w:rPr>
      </w:pPr>
      <w:r w:rsidRPr="00D5610D">
        <w:rPr>
          <w:rFonts w:ascii="Verdana" w:eastAsia="MS Mincho" w:hAnsi="Verdana" w:cs="Times New Roman"/>
          <w:sz w:val="20"/>
          <w:szCs w:val="20"/>
        </w:rPr>
        <w:t>Este medicamento contém</w:t>
      </w:r>
      <w:r w:rsidRPr="000472B9">
        <w:rPr>
          <w:rFonts w:ascii="Verdana" w:hAnsi="Verdana"/>
          <w:sz w:val="20"/>
          <w:szCs w:val="20"/>
        </w:rPr>
        <w:t xml:space="preserve"> </w:t>
      </w:r>
      <w:r w:rsidR="008319F9">
        <w:rPr>
          <w:rFonts w:ascii="Verdana" w:hAnsi="Verdana"/>
          <w:sz w:val="20"/>
          <w:szCs w:val="20"/>
        </w:rPr>
        <w:t>186,87 mg (</w:t>
      </w:r>
      <w:r w:rsidRPr="000472B9">
        <w:rPr>
          <w:rFonts w:ascii="Verdana" w:hAnsi="Verdana"/>
          <w:sz w:val="20"/>
          <w:szCs w:val="20"/>
        </w:rPr>
        <w:t xml:space="preserve">8,125 de </w:t>
      </w:r>
      <w:proofErr w:type="spellStart"/>
      <w:r w:rsidRPr="000472B9">
        <w:rPr>
          <w:rFonts w:ascii="Verdana" w:hAnsi="Verdana"/>
          <w:sz w:val="20"/>
          <w:szCs w:val="20"/>
        </w:rPr>
        <w:t>mmol</w:t>
      </w:r>
      <w:proofErr w:type="spellEnd"/>
      <w:r w:rsidR="008319F9">
        <w:rPr>
          <w:rFonts w:ascii="Verdana" w:hAnsi="Verdana"/>
          <w:sz w:val="20"/>
          <w:szCs w:val="20"/>
        </w:rPr>
        <w:t>)</w:t>
      </w:r>
      <w:r w:rsidRPr="000472B9">
        <w:rPr>
          <w:rFonts w:ascii="Verdana" w:hAnsi="Verdana"/>
          <w:sz w:val="20"/>
          <w:szCs w:val="20"/>
        </w:rPr>
        <w:t xml:space="preserve"> de sódio por dose, o equivalente a 9,3% da ingestão diária máxima de sódio recomendada pela OMS. </w:t>
      </w:r>
      <w:r w:rsidR="008319F9">
        <w:rPr>
          <w:rFonts w:ascii="Verdana" w:hAnsi="Verdana"/>
          <w:sz w:val="20"/>
          <w:szCs w:val="20"/>
        </w:rPr>
        <w:t xml:space="preserve">Quando usado a longo prazo para a </w:t>
      </w:r>
      <w:proofErr w:type="spellStart"/>
      <w:proofErr w:type="gramStart"/>
      <w:r w:rsidR="008319F9">
        <w:rPr>
          <w:rFonts w:ascii="Verdana" w:hAnsi="Verdana"/>
          <w:sz w:val="20"/>
          <w:szCs w:val="20"/>
        </w:rPr>
        <w:t>obstipação,a</w:t>
      </w:r>
      <w:proofErr w:type="spellEnd"/>
      <w:proofErr w:type="gramEnd"/>
      <w:r w:rsidRPr="000472B9">
        <w:rPr>
          <w:rFonts w:ascii="Verdana" w:hAnsi="Verdana"/>
          <w:sz w:val="20"/>
          <w:szCs w:val="20"/>
        </w:rPr>
        <w:t xml:space="preserve"> dose diária máxima deste produto é equivalente a 28% da ingestão diária máxima de sódio recomendada pela OMS. M</w:t>
      </w:r>
      <w:r w:rsidR="00022369">
        <w:rPr>
          <w:rFonts w:ascii="Verdana" w:hAnsi="Verdana"/>
          <w:sz w:val="20"/>
          <w:szCs w:val="20"/>
        </w:rPr>
        <w:t>OVICOL</w:t>
      </w:r>
      <w:r w:rsidRPr="000472B9">
        <w:rPr>
          <w:rFonts w:ascii="Verdana" w:hAnsi="Verdana"/>
          <w:sz w:val="20"/>
          <w:szCs w:val="20"/>
        </w:rPr>
        <w:t xml:space="preserve"> Laranja é considerado rico em sódio. Isto deve ser tido particularmente em consideração para doentes com dieta de teor reduzido em sal.</w:t>
      </w:r>
    </w:p>
    <w:p w14:paraId="441D78DA" w14:textId="1765BBB5" w:rsidR="00645C94" w:rsidRPr="00645C94" w:rsidRDefault="00645C94" w:rsidP="00645C94">
      <w:pPr>
        <w:rPr>
          <w:rFonts w:ascii="Verdana" w:hAnsi="Verdana" w:cs="Times New Roman"/>
          <w:szCs w:val="24"/>
        </w:rPr>
      </w:pPr>
      <w:r w:rsidRPr="00645C94">
        <w:rPr>
          <w:rFonts w:ascii="Verdana" w:hAnsi="Verdana" w:cs="Times New Roman"/>
          <w:szCs w:val="24"/>
        </w:rPr>
        <w:t xml:space="preserve">Nos doentes com problemas de deglutição, que necessitam de adição de um espessante às soluções para promover a sua ingestão adequada, devem ser consideradas as interações, ver secção </w:t>
      </w:r>
      <w:r w:rsidR="000D5111" w:rsidRPr="00321C24">
        <w:rPr>
          <w:rFonts w:ascii="Verdana" w:eastAsia="MS Mincho" w:hAnsi="Verdana" w:cs="Times New Roman"/>
          <w:bCs/>
          <w:sz w:val="20"/>
          <w:szCs w:val="24"/>
        </w:rPr>
        <w:t>Interações medicamentosas e outras formas de interação</w:t>
      </w:r>
      <w:r w:rsidRPr="00645C94">
        <w:rPr>
          <w:rFonts w:ascii="Verdana" w:hAnsi="Verdana" w:cs="Times New Roman"/>
          <w:szCs w:val="24"/>
        </w:rPr>
        <w:t>.</w:t>
      </w:r>
    </w:p>
    <w:p w14:paraId="39B20C40" w14:textId="77777777" w:rsidR="00D5610D" w:rsidRPr="00321C24" w:rsidRDefault="00D5610D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7E8CD0E8" w14:textId="52AF083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Interações medicamentosas e outras formas de interação</w:t>
      </w:r>
    </w:p>
    <w:p w14:paraId="7B37566E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14FBA76F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O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Macrogol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aumenta a solubilidade de fármacos que são solúveis em álcool e relativamente insolúveis em água. </w:t>
      </w:r>
    </w:p>
    <w:p w14:paraId="15530F57" w14:textId="1EF643D4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Existe a possibilidade da absorção de outros medicamentos ser temporariamente reduzida durante a utilização concomitante com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 (ver secção </w:t>
      </w:r>
      <w:r w:rsidR="000D5111">
        <w:rPr>
          <w:rFonts w:ascii="Verdana" w:eastAsia="MS Mincho" w:hAnsi="Verdana" w:cs="Times New Roman"/>
          <w:sz w:val="20"/>
          <w:szCs w:val="24"/>
        </w:rPr>
        <w:t>Advertências e Precauções Especiais de Utilização</w:t>
      </w:r>
      <w:r w:rsidRPr="0065487B">
        <w:rPr>
          <w:rFonts w:ascii="Verdana" w:eastAsia="MS Mincho" w:hAnsi="Verdana" w:cs="Times New Roman"/>
          <w:sz w:val="20"/>
          <w:szCs w:val="24"/>
        </w:rPr>
        <w:t>). Existem notificações isoladas de eficácia diminuída com a administração concomitante com alguns medicamentos, por exemplo, antiepiléticos.</w:t>
      </w:r>
      <w:r w:rsidR="00586F42">
        <w:rPr>
          <w:rFonts w:ascii="Verdana" w:eastAsia="MS Mincho" w:hAnsi="Verdana" w:cs="Times New Roman"/>
          <w:sz w:val="20"/>
          <w:szCs w:val="24"/>
        </w:rPr>
        <w:t xml:space="preserve"> </w:t>
      </w:r>
      <w:bookmarkStart w:id="0" w:name="_Hlk103680367"/>
      <w:r w:rsidR="00586F42">
        <w:rPr>
          <w:rFonts w:ascii="Verdana" w:eastAsia="MS Mincho" w:hAnsi="Verdana" w:cs="Times New Roman"/>
          <w:sz w:val="20"/>
          <w:szCs w:val="24"/>
        </w:rPr>
        <w:t xml:space="preserve">Pelo que, outros medicamentos não devem ser tomados pela via oral uma hora antes, durante e uma hora depois de tomar o </w:t>
      </w:r>
      <w:proofErr w:type="spellStart"/>
      <w:r w:rsidR="00586F42">
        <w:rPr>
          <w:rFonts w:ascii="Verdana" w:eastAsia="MS Mincho" w:hAnsi="Verdana" w:cs="Times New Roman"/>
          <w:sz w:val="20"/>
          <w:szCs w:val="24"/>
        </w:rPr>
        <w:t>M</w:t>
      </w:r>
      <w:r w:rsidR="00EC52F3">
        <w:rPr>
          <w:rFonts w:ascii="Verdana" w:eastAsia="MS Mincho" w:hAnsi="Verdana" w:cs="Times New Roman"/>
          <w:sz w:val="20"/>
          <w:szCs w:val="24"/>
        </w:rPr>
        <w:t>ovicol</w:t>
      </w:r>
      <w:proofErr w:type="spellEnd"/>
      <w:r w:rsidR="00586F42">
        <w:rPr>
          <w:rFonts w:ascii="Verdana" w:eastAsia="MS Mincho" w:hAnsi="Verdana" w:cs="Times New Roman"/>
          <w:sz w:val="20"/>
          <w:szCs w:val="24"/>
        </w:rPr>
        <w:t xml:space="preserve"> Laranja.</w:t>
      </w:r>
    </w:p>
    <w:bookmarkEnd w:id="0"/>
    <w:p w14:paraId="2E80310F" w14:textId="77777777" w:rsid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06E6C5A0" w14:textId="275D868C" w:rsidR="00C77C5D" w:rsidRDefault="00C77C5D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>
        <w:rPr>
          <w:rFonts w:ascii="Verdana" w:eastAsia="Times New Roman" w:hAnsi="Verdana" w:cs="Times New Roman"/>
          <w:sz w:val="20"/>
          <w:szCs w:val="24"/>
        </w:rPr>
        <w:t>M</w:t>
      </w:r>
      <w:r w:rsidR="00022369">
        <w:rPr>
          <w:rFonts w:ascii="Verdana" w:eastAsia="Times New Roman" w:hAnsi="Verdana" w:cs="Times New Roman"/>
          <w:sz w:val="20"/>
          <w:szCs w:val="24"/>
        </w:rPr>
        <w:t>OVICOL</w:t>
      </w:r>
      <w:r>
        <w:rPr>
          <w:rFonts w:ascii="Verdana" w:eastAsia="Times New Roman" w:hAnsi="Verdana" w:cs="Times New Roman"/>
          <w:sz w:val="20"/>
          <w:szCs w:val="24"/>
        </w:rPr>
        <w:t xml:space="preserve"> Laranja</w:t>
      </w:r>
      <w:r w:rsidRPr="00A804A4">
        <w:rPr>
          <w:rFonts w:ascii="Verdana" w:eastAsia="Times New Roman" w:hAnsi="Verdana" w:cs="Times New Roman"/>
          <w:sz w:val="20"/>
          <w:szCs w:val="24"/>
        </w:rPr>
        <w:t xml:space="preserve"> se usado com alimentos espessantes à base de amido pode resultar num efeito interativo potencial. O excipiente </w:t>
      </w:r>
      <w:proofErr w:type="spellStart"/>
      <w:r>
        <w:rPr>
          <w:rFonts w:ascii="Verdana" w:eastAsia="Times New Roman" w:hAnsi="Verdana" w:cs="Times New Roman"/>
          <w:sz w:val="20"/>
          <w:szCs w:val="24"/>
        </w:rPr>
        <w:t>m</w:t>
      </w:r>
      <w:r w:rsidRPr="00A804A4">
        <w:rPr>
          <w:rFonts w:ascii="Verdana" w:eastAsia="Times New Roman" w:hAnsi="Verdana" w:cs="Times New Roman"/>
          <w:sz w:val="20"/>
          <w:szCs w:val="24"/>
        </w:rPr>
        <w:t>acrogol</w:t>
      </w:r>
      <w:proofErr w:type="spellEnd"/>
      <w:r w:rsidRPr="00A804A4">
        <w:rPr>
          <w:rFonts w:ascii="Verdana" w:eastAsia="Times New Roman" w:hAnsi="Verdana" w:cs="Times New Roman"/>
          <w:sz w:val="20"/>
          <w:szCs w:val="24"/>
        </w:rPr>
        <w:t xml:space="preserve"> contraria o efeito espessante do amido, liquidificando as preparações que necessitam de permanecer espessas para as pessoas com problemas de deglutição.</w:t>
      </w:r>
    </w:p>
    <w:p w14:paraId="5E382EF0" w14:textId="77777777" w:rsidR="00C77C5D" w:rsidRPr="00321C24" w:rsidRDefault="00C77C5D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6E244F10" w14:textId="066E8F0A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Efeitos indesejáveis</w:t>
      </w:r>
    </w:p>
    <w:p w14:paraId="01F9FEDE" w14:textId="77777777" w:rsidR="0065487B" w:rsidRPr="000D5111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</w:p>
    <w:p w14:paraId="6EB34D68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 xml:space="preserve">As reações relacionadas com o trato gastrointestinal são as que ocorrem com maior frequência. </w:t>
      </w:r>
    </w:p>
    <w:p w14:paraId="6FAD88EA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6F6A6CC5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lastRenderedPageBreak/>
        <w:t xml:space="preserve">Estas reações podem ocorrer como consequência da expansão do conteúdo do trato gastrointestinal e do aumento da motilidade causada pelos efeitos farmacológicos de </w:t>
      </w:r>
      <w:proofErr w:type="spellStart"/>
      <w:r w:rsidRPr="0065487B">
        <w:rPr>
          <w:rFonts w:ascii="Verdana" w:eastAsia="MS Mincho" w:hAnsi="Verdana" w:cs="Times New Roman"/>
          <w:sz w:val="20"/>
          <w:szCs w:val="24"/>
        </w:rPr>
        <w:t>Movicol</w:t>
      </w:r>
      <w:proofErr w:type="spellEnd"/>
      <w:r w:rsidRPr="0065487B">
        <w:rPr>
          <w:rFonts w:ascii="Verdana" w:eastAsia="MS Mincho" w:hAnsi="Verdana" w:cs="Times New Roman"/>
          <w:sz w:val="20"/>
          <w:szCs w:val="24"/>
        </w:rPr>
        <w:t xml:space="preserve"> Laranja. A diarreia moderada geralmente desaparece após redução da dose.</w:t>
      </w:r>
    </w:p>
    <w:p w14:paraId="60DBB3D5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678ECC5E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  <w:r w:rsidRPr="0065487B">
        <w:rPr>
          <w:rFonts w:ascii="Verdana" w:eastAsia="MS Mincho" w:hAnsi="Verdana" w:cs="Times New Roman"/>
          <w:sz w:val="20"/>
          <w:szCs w:val="24"/>
        </w:rPr>
        <w:t>Desconhece-se a frequência das reações adversas visto não poder ser calculada a partir dos dados disponíveis.</w:t>
      </w:r>
    </w:p>
    <w:p w14:paraId="6C4311C1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37"/>
        <w:gridCol w:w="4338"/>
      </w:tblGrid>
      <w:tr w:rsidR="0065487B" w:rsidRPr="0065487B" w14:paraId="10581F07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109F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Classes de Sistemas de Órgãos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992C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Acontecimentos adversos</w:t>
            </w:r>
          </w:p>
        </w:tc>
      </w:tr>
      <w:tr w:rsidR="0065487B" w:rsidRPr="0065487B" w14:paraId="1A6C6738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48E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Doenças do sistema imunitário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4A3B" w14:textId="33FA933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Reações alérgicas, incluindo reação anafilática</w:t>
            </w:r>
            <w:r w:rsidR="006F0A2E">
              <w:rPr>
                <w:rFonts w:ascii="Verdana" w:eastAsia="MS Mincho" w:hAnsi="Verdana" w:cs="Times New Roman"/>
                <w:bCs/>
                <w:sz w:val="20"/>
                <w:szCs w:val="24"/>
              </w:rPr>
              <w:t>,</w:t>
            </w: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 xml:space="preserve"> dispneia e reações cutâneas (ver abaixo).</w:t>
            </w:r>
          </w:p>
        </w:tc>
      </w:tr>
      <w:tr w:rsidR="0065487B" w:rsidRPr="0065487B" w14:paraId="467DD0ED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8225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proofErr w:type="spellStart"/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Afecções</w:t>
            </w:r>
            <w:proofErr w:type="spellEnd"/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 xml:space="preserve"> dos tecidos cutâneos e subcutâneos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B0A1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Reações alérgicas cutâneas incluindo</w:t>
            </w: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br/>
              <w:t>angioedema, urticária, prurido, erupção cutânea, eritema</w:t>
            </w:r>
          </w:p>
        </w:tc>
      </w:tr>
      <w:tr w:rsidR="0065487B" w:rsidRPr="0065487B" w14:paraId="4AE23A81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F607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Doenças do metabolismo e da nutrição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53E5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Alterações dos eletrólitos, em especial, hipercaliemia e hipocaliemia.</w:t>
            </w:r>
          </w:p>
        </w:tc>
      </w:tr>
      <w:tr w:rsidR="0065487B" w:rsidRPr="0065487B" w14:paraId="0DACB617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372F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Doenças do sistema nervoso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FB7C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Cefaleia</w:t>
            </w:r>
          </w:p>
        </w:tc>
      </w:tr>
      <w:tr w:rsidR="0065487B" w:rsidRPr="0065487B" w14:paraId="6547DA86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555E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Doenças gastrointestinais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B5C9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Dor abdominal, diarreia, vómitos, náuseas, dispepsia, distensão abdominal, borborismo, flatulência e desconforto anorretal.</w:t>
            </w:r>
          </w:p>
        </w:tc>
      </w:tr>
      <w:tr w:rsidR="0065487B" w:rsidRPr="0065487B" w14:paraId="7814554D" w14:textId="77777777" w:rsidTr="00D54410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4636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Perturbações gerais e alterações no local de administração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3EF1" w14:textId="77777777" w:rsidR="0065487B" w:rsidRPr="000D5111" w:rsidRDefault="0065487B" w:rsidP="0065487B">
            <w:pPr>
              <w:spacing w:after="0" w:line="240" w:lineRule="auto"/>
              <w:jc w:val="both"/>
              <w:rPr>
                <w:rFonts w:ascii="Verdana" w:eastAsia="MS Mincho" w:hAnsi="Verdana" w:cs="Times New Roman"/>
                <w:bCs/>
                <w:sz w:val="20"/>
                <w:szCs w:val="24"/>
              </w:rPr>
            </w:pPr>
            <w:r w:rsidRPr="000D5111">
              <w:rPr>
                <w:rFonts w:ascii="Verdana" w:eastAsia="MS Mincho" w:hAnsi="Verdana" w:cs="Times New Roman"/>
                <w:bCs/>
                <w:sz w:val="20"/>
                <w:szCs w:val="24"/>
              </w:rPr>
              <w:t>Edema periférico</w:t>
            </w:r>
          </w:p>
        </w:tc>
      </w:tr>
    </w:tbl>
    <w:p w14:paraId="3F195C31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  <w:lang w:eastAsia="ja-JP"/>
        </w:rPr>
      </w:pPr>
    </w:p>
    <w:p w14:paraId="7229CD93" w14:textId="77777777" w:rsidR="0065487B" w:rsidRPr="00321C24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Cs/>
          <w:sz w:val="20"/>
          <w:szCs w:val="24"/>
        </w:rPr>
      </w:pPr>
    </w:p>
    <w:p w14:paraId="48C06E79" w14:textId="08AC1491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b/>
          <w:sz w:val="20"/>
          <w:szCs w:val="24"/>
        </w:rPr>
      </w:pPr>
      <w:r w:rsidRPr="000D5111">
        <w:rPr>
          <w:rFonts w:ascii="Verdana" w:eastAsia="MS Mincho" w:hAnsi="Verdana" w:cs="Times New Roman"/>
          <w:b/>
          <w:sz w:val="20"/>
          <w:szCs w:val="24"/>
        </w:rPr>
        <w:t>10. D</w:t>
      </w:r>
      <w:r w:rsidR="000D5111" w:rsidRPr="000D5111">
        <w:rPr>
          <w:rFonts w:ascii="Verdana" w:eastAsia="MS Mincho" w:hAnsi="Verdana" w:cs="Times New Roman"/>
          <w:b/>
          <w:sz w:val="20"/>
          <w:szCs w:val="24"/>
        </w:rPr>
        <w:t>ata da Revisão do Texto</w:t>
      </w:r>
      <w:r w:rsidR="000D5111">
        <w:rPr>
          <w:rFonts w:ascii="Verdana" w:eastAsia="MS Mincho" w:hAnsi="Verdana" w:cs="Times New Roman"/>
          <w:bCs/>
          <w:sz w:val="20"/>
          <w:szCs w:val="24"/>
        </w:rPr>
        <w:t>:</w:t>
      </w:r>
      <w:r w:rsidR="00A13BD8">
        <w:rPr>
          <w:rFonts w:ascii="Verdana" w:eastAsia="MS Mincho" w:hAnsi="Verdana" w:cs="Times New Roman"/>
          <w:b/>
          <w:sz w:val="20"/>
          <w:szCs w:val="24"/>
        </w:rPr>
        <w:t xml:space="preserve"> </w:t>
      </w:r>
      <w:r w:rsidR="00F87455" w:rsidRPr="00F87455">
        <w:rPr>
          <w:rFonts w:ascii="Verdana" w:eastAsia="MS Mincho" w:hAnsi="Verdana" w:cs="Times New Roman"/>
          <w:bCs/>
          <w:sz w:val="20"/>
          <w:szCs w:val="24"/>
        </w:rPr>
        <w:t>13</w:t>
      </w:r>
      <w:r w:rsidR="0028436F" w:rsidRPr="00F87455">
        <w:rPr>
          <w:rFonts w:ascii="Verdana" w:eastAsia="MS Mincho" w:hAnsi="Verdana" w:cs="Times New Roman"/>
          <w:bCs/>
          <w:sz w:val="20"/>
          <w:szCs w:val="24"/>
        </w:rPr>
        <w:t>/</w:t>
      </w:r>
      <w:r w:rsidR="001C7140" w:rsidRPr="00F87455">
        <w:rPr>
          <w:rFonts w:ascii="Verdana" w:eastAsia="MS Mincho" w:hAnsi="Verdana" w:cs="Times New Roman"/>
          <w:bCs/>
          <w:sz w:val="20"/>
          <w:szCs w:val="24"/>
        </w:rPr>
        <w:t>0</w:t>
      </w:r>
      <w:r w:rsidR="00F87455" w:rsidRPr="00F87455">
        <w:rPr>
          <w:rFonts w:ascii="Verdana" w:eastAsia="MS Mincho" w:hAnsi="Verdana" w:cs="Times New Roman"/>
          <w:bCs/>
          <w:sz w:val="20"/>
          <w:szCs w:val="24"/>
        </w:rPr>
        <w:t>3</w:t>
      </w:r>
      <w:r w:rsidR="0028436F" w:rsidRPr="00F87455">
        <w:rPr>
          <w:rFonts w:ascii="Verdana" w:eastAsia="MS Mincho" w:hAnsi="Verdana" w:cs="Times New Roman"/>
          <w:bCs/>
          <w:sz w:val="20"/>
          <w:szCs w:val="24"/>
        </w:rPr>
        <w:t>/</w:t>
      </w:r>
      <w:r w:rsidR="001C7140" w:rsidRPr="00F87455">
        <w:rPr>
          <w:rFonts w:ascii="Verdana" w:eastAsia="MS Mincho" w:hAnsi="Verdana" w:cs="Times New Roman"/>
          <w:bCs/>
          <w:sz w:val="20"/>
          <w:szCs w:val="24"/>
        </w:rPr>
        <w:t>202</w:t>
      </w:r>
      <w:r w:rsidR="00F87455" w:rsidRPr="00F87455">
        <w:rPr>
          <w:rFonts w:ascii="Verdana" w:eastAsia="MS Mincho" w:hAnsi="Verdana" w:cs="Times New Roman"/>
          <w:bCs/>
          <w:sz w:val="20"/>
          <w:szCs w:val="24"/>
        </w:rPr>
        <w:t>6</w:t>
      </w:r>
    </w:p>
    <w:p w14:paraId="195AEB5B" w14:textId="77777777" w:rsidR="0065487B" w:rsidRPr="0065487B" w:rsidRDefault="0065487B" w:rsidP="0065487B">
      <w:pPr>
        <w:spacing w:after="0" w:line="240" w:lineRule="auto"/>
        <w:jc w:val="both"/>
        <w:rPr>
          <w:rFonts w:ascii="Verdana" w:eastAsia="MS Mincho" w:hAnsi="Verdana" w:cs="Times New Roman"/>
          <w:sz w:val="20"/>
          <w:szCs w:val="24"/>
        </w:rPr>
      </w:pPr>
    </w:p>
    <w:p w14:paraId="73189C96" w14:textId="77777777" w:rsidR="0035652A" w:rsidRPr="000D5111" w:rsidRDefault="0035652A" w:rsidP="003565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Para mais informações deverá contactar o Titular da Autorização de Introdução no </w:t>
      </w:r>
    </w:p>
    <w:p w14:paraId="5CAD9A24" w14:textId="77777777" w:rsidR="000D5111" w:rsidRDefault="0035652A" w:rsidP="0035652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D5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Mercado. </w:t>
      </w:r>
    </w:p>
    <w:p w14:paraId="215C6326" w14:textId="598EF72F" w:rsidR="00715EAF" w:rsidRPr="000D5111" w:rsidRDefault="0035652A" w:rsidP="0035652A">
      <w:pPr>
        <w:rPr>
          <w:b/>
          <w:bCs/>
        </w:rPr>
      </w:pPr>
      <w:r w:rsidRPr="000D51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Medicamento Não Sujeito a Receita Médica. </w:t>
      </w:r>
    </w:p>
    <w:sectPr w:rsidR="00715EAF" w:rsidRPr="000D511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482E6" w14:textId="77777777" w:rsidR="007D27A3" w:rsidRDefault="007D27A3">
      <w:pPr>
        <w:spacing w:after="0" w:line="240" w:lineRule="auto"/>
      </w:pPr>
      <w:r>
        <w:separator/>
      </w:r>
    </w:p>
  </w:endnote>
  <w:endnote w:type="continuationSeparator" w:id="0">
    <w:p w14:paraId="440E2AC5" w14:textId="77777777" w:rsidR="007D27A3" w:rsidRDefault="007D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92765" w14:textId="77777777" w:rsidR="007D27A3" w:rsidRDefault="007D27A3">
      <w:pPr>
        <w:spacing w:after="0" w:line="240" w:lineRule="auto"/>
      </w:pPr>
      <w:r>
        <w:separator/>
      </w:r>
    </w:p>
  </w:footnote>
  <w:footnote w:type="continuationSeparator" w:id="0">
    <w:p w14:paraId="5F3872D3" w14:textId="77777777" w:rsidR="007D27A3" w:rsidRDefault="007D2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58D86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E2A76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61EC8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D06D38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6CDD2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20DE58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6612D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7E3F2E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A23A92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3E831CC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313DD"/>
    <w:multiLevelType w:val="multilevel"/>
    <w:tmpl w:val="081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742072"/>
    <w:multiLevelType w:val="multilevel"/>
    <w:tmpl w:val="081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5204594"/>
    <w:multiLevelType w:val="multilevel"/>
    <w:tmpl w:val="08160023"/>
    <w:styleLink w:val="ArtigoSeco"/>
    <w:lvl w:ilvl="0">
      <w:start w:val="1"/>
      <w:numFmt w:val="upperRoman"/>
      <w:pStyle w:val="Ttulo1"/>
      <w:lvlText w:val="Article %1."/>
      <w:lvlJc w:val="left"/>
      <w:pPr>
        <w:ind w:left="0" w:firstLine="0"/>
      </w:pPr>
      <w:rPr>
        <w:rFonts w:ascii="Arial" w:hAnsi="Arial" w:cs="Arial"/>
      </w:r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num w:numId="1" w16cid:durableId="864489872">
    <w:abstractNumId w:val="10"/>
  </w:num>
  <w:num w:numId="2" w16cid:durableId="767307283">
    <w:abstractNumId w:val="11"/>
  </w:num>
  <w:num w:numId="3" w16cid:durableId="1692998130">
    <w:abstractNumId w:val="12"/>
  </w:num>
  <w:num w:numId="4" w16cid:durableId="1163937554">
    <w:abstractNumId w:val="9"/>
  </w:num>
  <w:num w:numId="5" w16cid:durableId="162818569">
    <w:abstractNumId w:val="7"/>
  </w:num>
  <w:num w:numId="6" w16cid:durableId="681392528">
    <w:abstractNumId w:val="6"/>
  </w:num>
  <w:num w:numId="7" w16cid:durableId="1991203808">
    <w:abstractNumId w:val="5"/>
  </w:num>
  <w:num w:numId="8" w16cid:durableId="2069917697">
    <w:abstractNumId w:val="4"/>
  </w:num>
  <w:num w:numId="9" w16cid:durableId="2029915267">
    <w:abstractNumId w:val="8"/>
  </w:num>
  <w:num w:numId="10" w16cid:durableId="1470972367">
    <w:abstractNumId w:val="3"/>
  </w:num>
  <w:num w:numId="11" w16cid:durableId="1421365088">
    <w:abstractNumId w:val="2"/>
  </w:num>
  <w:num w:numId="12" w16cid:durableId="1210802168">
    <w:abstractNumId w:val="1"/>
  </w:num>
  <w:num w:numId="13" w16cid:durableId="56395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7B"/>
    <w:rsid w:val="00002D1B"/>
    <w:rsid w:val="00011BC1"/>
    <w:rsid w:val="00014350"/>
    <w:rsid w:val="00022369"/>
    <w:rsid w:val="000472B9"/>
    <w:rsid w:val="00075487"/>
    <w:rsid w:val="0008014D"/>
    <w:rsid w:val="000811BE"/>
    <w:rsid w:val="00085951"/>
    <w:rsid w:val="00091A95"/>
    <w:rsid w:val="0009699F"/>
    <w:rsid w:val="000A3332"/>
    <w:rsid w:val="000C1097"/>
    <w:rsid w:val="000C6AC3"/>
    <w:rsid w:val="000D129B"/>
    <w:rsid w:val="000D5111"/>
    <w:rsid w:val="000E7F05"/>
    <w:rsid w:val="000F0C5D"/>
    <w:rsid w:val="000F5754"/>
    <w:rsid w:val="000F75E4"/>
    <w:rsid w:val="00111B12"/>
    <w:rsid w:val="001122D4"/>
    <w:rsid w:val="0011539E"/>
    <w:rsid w:val="0012175B"/>
    <w:rsid w:val="001324F4"/>
    <w:rsid w:val="00141D6B"/>
    <w:rsid w:val="0018186B"/>
    <w:rsid w:val="001864BB"/>
    <w:rsid w:val="001C626F"/>
    <w:rsid w:val="001C667C"/>
    <w:rsid w:val="001C7140"/>
    <w:rsid w:val="001D6A4C"/>
    <w:rsid w:val="001E4EB1"/>
    <w:rsid w:val="001E7198"/>
    <w:rsid w:val="001E7C10"/>
    <w:rsid w:val="001F1DA7"/>
    <w:rsid w:val="001F4EF3"/>
    <w:rsid w:val="00215D4D"/>
    <w:rsid w:val="002201A3"/>
    <w:rsid w:val="00241D0D"/>
    <w:rsid w:val="00261489"/>
    <w:rsid w:val="00262372"/>
    <w:rsid w:val="0027645B"/>
    <w:rsid w:val="0028436F"/>
    <w:rsid w:val="00290AED"/>
    <w:rsid w:val="002A1206"/>
    <w:rsid w:val="002C4066"/>
    <w:rsid w:val="002D6863"/>
    <w:rsid w:val="0030061B"/>
    <w:rsid w:val="00321C24"/>
    <w:rsid w:val="00321F00"/>
    <w:rsid w:val="00325C56"/>
    <w:rsid w:val="00330EED"/>
    <w:rsid w:val="00335545"/>
    <w:rsid w:val="003436DA"/>
    <w:rsid w:val="0035652A"/>
    <w:rsid w:val="00357AFE"/>
    <w:rsid w:val="00364F5D"/>
    <w:rsid w:val="0037448A"/>
    <w:rsid w:val="003760E1"/>
    <w:rsid w:val="00376867"/>
    <w:rsid w:val="00387ACA"/>
    <w:rsid w:val="0039070A"/>
    <w:rsid w:val="003A6238"/>
    <w:rsid w:val="003A6F2E"/>
    <w:rsid w:val="003B64C0"/>
    <w:rsid w:val="003B6619"/>
    <w:rsid w:val="003C2493"/>
    <w:rsid w:val="003E6EC8"/>
    <w:rsid w:val="003F1B78"/>
    <w:rsid w:val="003F7868"/>
    <w:rsid w:val="00431F0A"/>
    <w:rsid w:val="00433C8A"/>
    <w:rsid w:val="00454389"/>
    <w:rsid w:val="004814C5"/>
    <w:rsid w:val="0048387C"/>
    <w:rsid w:val="004850B5"/>
    <w:rsid w:val="004A22E1"/>
    <w:rsid w:val="004B5546"/>
    <w:rsid w:val="004C5869"/>
    <w:rsid w:val="004C756F"/>
    <w:rsid w:val="004E2093"/>
    <w:rsid w:val="004F3BB6"/>
    <w:rsid w:val="0050413A"/>
    <w:rsid w:val="00511455"/>
    <w:rsid w:val="00514932"/>
    <w:rsid w:val="0051580B"/>
    <w:rsid w:val="005206F9"/>
    <w:rsid w:val="00525AC6"/>
    <w:rsid w:val="00536558"/>
    <w:rsid w:val="00562850"/>
    <w:rsid w:val="00566743"/>
    <w:rsid w:val="005715EB"/>
    <w:rsid w:val="0058441F"/>
    <w:rsid w:val="00586F42"/>
    <w:rsid w:val="00596395"/>
    <w:rsid w:val="00597256"/>
    <w:rsid w:val="005A0B6B"/>
    <w:rsid w:val="005B5B60"/>
    <w:rsid w:val="005B7190"/>
    <w:rsid w:val="005C1BCC"/>
    <w:rsid w:val="005C5AED"/>
    <w:rsid w:val="005D4C3C"/>
    <w:rsid w:val="005D4E57"/>
    <w:rsid w:val="005E2174"/>
    <w:rsid w:val="005E7EDC"/>
    <w:rsid w:val="005F3CA7"/>
    <w:rsid w:val="005F7E41"/>
    <w:rsid w:val="006038C6"/>
    <w:rsid w:val="00606C40"/>
    <w:rsid w:val="006415D7"/>
    <w:rsid w:val="00645C94"/>
    <w:rsid w:val="00647029"/>
    <w:rsid w:val="0065487B"/>
    <w:rsid w:val="00666B59"/>
    <w:rsid w:val="00686A04"/>
    <w:rsid w:val="006905FD"/>
    <w:rsid w:val="006A05E1"/>
    <w:rsid w:val="006C484C"/>
    <w:rsid w:val="006F0A2E"/>
    <w:rsid w:val="006F5481"/>
    <w:rsid w:val="00713051"/>
    <w:rsid w:val="00715EAF"/>
    <w:rsid w:val="00720483"/>
    <w:rsid w:val="007251ED"/>
    <w:rsid w:val="00731C54"/>
    <w:rsid w:val="00736251"/>
    <w:rsid w:val="00775F4F"/>
    <w:rsid w:val="00785A08"/>
    <w:rsid w:val="00787279"/>
    <w:rsid w:val="007A1F47"/>
    <w:rsid w:val="007C33D1"/>
    <w:rsid w:val="007D27A3"/>
    <w:rsid w:val="007D2C3B"/>
    <w:rsid w:val="007D3FD6"/>
    <w:rsid w:val="007D5C5E"/>
    <w:rsid w:val="007D5D7C"/>
    <w:rsid w:val="007E7C9C"/>
    <w:rsid w:val="007F0F39"/>
    <w:rsid w:val="008066BC"/>
    <w:rsid w:val="00826BBD"/>
    <w:rsid w:val="008319F9"/>
    <w:rsid w:val="008324AC"/>
    <w:rsid w:val="008359F8"/>
    <w:rsid w:val="00836EEA"/>
    <w:rsid w:val="008410F5"/>
    <w:rsid w:val="0086431A"/>
    <w:rsid w:val="00870EF2"/>
    <w:rsid w:val="0089046A"/>
    <w:rsid w:val="008921A6"/>
    <w:rsid w:val="00892D26"/>
    <w:rsid w:val="008A4982"/>
    <w:rsid w:val="008B701D"/>
    <w:rsid w:val="008B7D5B"/>
    <w:rsid w:val="008C0B4B"/>
    <w:rsid w:val="008E5FE5"/>
    <w:rsid w:val="00900432"/>
    <w:rsid w:val="00905465"/>
    <w:rsid w:val="009277E0"/>
    <w:rsid w:val="00930448"/>
    <w:rsid w:val="00936D2A"/>
    <w:rsid w:val="00941EF3"/>
    <w:rsid w:val="009448F0"/>
    <w:rsid w:val="00953D79"/>
    <w:rsid w:val="00955A9F"/>
    <w:rsid w:val="00956E97"/>
    <w:rsid w:val="00966D8F"/>
    <w:rsid w:val="00973A88"/>
    <w:rsid w:val="00975A86"/>
    <w:rsid w:val="00984022"/>
    <w:rsid w:val="00990DC4"/>
    <w:rsid w:val="00994F28"/>
    <w:rsid w:val="009A1C43"/>
    <w:rsid w:val="009B73EC"/>
    <w:rsid w:val="009C3878"/>
    <w:rsid w:val="009C3C99"/>
    <w:rsid w:val="009F52AC"/>
    <w:rsid w:val="00A02128"/>
    <w:rsid w:val="00A06BB7"/>
    <w:rsid w:val="00A13BD8"/>
    <w:rsid w:val="00A207F9"/>
    <w:rsid w:val="00A23E4C"/>
    <w:rsid w:val="00A27413"/>
    <w:rsid w:val="00A37161"/>
    <w:rsid w:val="00A4339C"/>
    <w:rsid w:val="00A52DC9"/>
    <w:rsid w:val="00A548CC"/>
    <w:rsid w:val="00A57D48"/>
    <w:rsid w:val="00A625F1"/>
    <w:rsid w:val="00A77FDE"/>
    <w:rsid w:val="00B06F64"/>
    <w:rsid w:val="00B259DC"/>
    <w:rsid w:val="00B32C7F"/>
    <w:rsid w:val="00B538E0"/>
    <w:rsid w:val="00B53A80"/>
    <w:rsid w:val="00B5656C"/>
    <w:rsid w:val="00B64A00"/>
    <w:rsid w:val="00B666E4"/>
    <w:rsid w:val="00B86591"/>
    <w:rsid w:val="00BA26A1"/>
    <w:rsid w:val="00BA5CC3"/>
    <w:rsid w:val="00BB1C5A"/>
    <w:rsid w:val="00BC116F"/>
    <w:rsid w:val="00BC596F"/>
    <w:rsid w:val="00BD3606"/>
    <w:rsid w:val="00BE0F09"/>
    <w:rsid w:val="00BE2B4A"/>
    <w:rsid w:val="00BF4B39"/>
    <w:rsid w:val="00C0335E"/>
    <w:rsid w:val="00C45F4A"/>
    <w:rsid w:val="00C53CCD"/>
    <w:rsid w:val="00C55994"/>
    <w:rsid w:val="00C60ABA"/>
    <w:rsid w:val="00C75E6D"/>
    <w:rsid w:val="00C77C5D"/>
    <w:rsid w:val="00CF23DC"/>
    <w:rsid w:val="00CF63EC"/>
    <w:rsid w:val="00CF6F57"/>
    <w:rsid w:val="00CF7001"/>
    <w:rsid w:val="00D019DB"/>
    <w:rsid w:val="00D07B37"/>
    <w:rsid w:val="00D236C0"/>
    <w:rsid w:val="00D24BAF"/>
    <w:rsid w:val="00D5610D"/>
    <w:rsid w:val="00D5731E"/>
    <w:rsid w:val="00DA0679"/>
    <w:rsid w:val="00DA0DEF"/>
    <w:rsid w:val="00DA5A6B"/>
    <w:rsid w:val="00DB4170"/>
    <w:rsid w:val="00DD3C1E"/>
    <w:rsid w:val="00DE4F69"/>
    <w:rsid w:val="00DE6AE8"/>
    <w:rsid w:val="00E000A3"/>
    <w:rsid w:val="00E11E45"/>
    <w:rsid w:val="00E13F4D"/>
    <w:rsid w:val="00E230C0"/>
    <w:rsid w:val="00E23F5D"/>
    <w:rsid w:val="00E30FC9"/>
    <w:rsid w:val="00E321F1"/>
    <w:rsid w:val="00E322E6"/>
    <w:rsid w:val="00E37587"/>
    <w:rsid w:val="00E44004"/>
    <w:rsid w:val="00E440AE"/>
    <w:rsid w:val="00E5699C"/>
    <w:rsid w:val="00E73131"/>
    <w:rsid w:val="00E74F74"/>
    <w:rsid w:val="00E825BB"/>
    <w:rsid w:val="00E84085"/>
    <w:rsid w:val="00EA74B0"/>
    <w:rsid w:val="00EA7725"/>
    <w:rsid w:val="00EB0440"/>
    <w:rsid w:val="00EC32FF"/>
    <w:rsid w:val="00EC3958"/>
    <w:rsid w:val="00EC4F99"/>
    <w:rsid w:val="00EC52F3"/>
    <w:rsid w:val="00EC64E5"/>
    <w:rsid w:val="00EC6892"/>
    <w:rsid w:val="00EC6C10"/>
    <w:rsid w:val="00ED4CB2"/>
    <w:rsid w:val="00EE649E"/>
    <w:rsid w:val="00EF0401"/>
    <w:rsid w:val="00EF4EF0"/>
    <w:rsid w:val="00EF5908"/>
    <w:rsid w:val="00F1226E"/>
    <w:rsid w:val="00F17393"/>
    <w:rsid w:val="00F36850"/>
    <w:rsid w:val="00F4156B"/>
    <w:rsid w:val="00F440A1"/>
    <w:rsid w:val="00F450E1"/>
    <w:rsid w:val="00F52678"/>
    <w:rsid w:val="00F66060"/>
    <w:rsid w:val="00F71E07"/>
    <w:rsid w:val="00F86614"/>
    <w:rsid w:val="00F87455"/>
    <w:rsid w:val="00F93C1D"/>
    <w:rsid w:val="00FA4C41"/>
    <w:rsid w:val="00FB4D4B"/>
    <w:rsid w:val="00FB4E7B"/>
    <w:rsid w:val="00FC1BDE"/>
    <w:rsid w:val="00FD5771"/>
    <w:rsid w:val="00FD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D2C8B0"/>
  <w15:chartTrackingRefBased/>
  <w15:docId w15:val="{BE19D2E9-D7C7-49D2-81A1-78DEE9E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Ttulo1">
    <w:name w:val="heading 1"/>
    <w:basedOn w:val="Normal"/>
    <w:next w:val="Normal"/>
    <w:link w:val="Ttulo1Carter"/>
    <w:uiPriority w:val="9"/>
    <w:qFormat/>
    <w:rsid w:val="00D07B37"/>
    <w:pPr>
      <w:keepNext/>
      <w:keepLines/>
      <w:numPr>
        <w:numId w:val="3"/>
      </w:numPr>
      <w:spacing w:before="240" w:after="0"/>
      <w:outlineLvl w:val="0"/>
    </w:pPr>
    <w:rPr>
      <w:rFonts w:eastAsiaTheme="majorEastAsia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07B37"/>
    <w:pPr>
      <w:keepNext/>
      <w:keepLines/>
      <w:numPr>
        <w:ilvl w:val="1"/>
        <w:numId w:val="3"/>
      </w:numPr>
      <w:spacing w:before="40" w:after="0"/>
      <w:outlineLvl w:val="1"/>
    </w:pPr>
    <w:rPr>
      <w:rFonts w:eastAsiaTheme="majorEastAsia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07B37"/>
    <w:pPr>
      <w:keepNext/>
      <w:keepLines/>
      <w:numPr>
        <w:ilvl w:val="2"/>
        <w:numId w:val="3"/>
      </w:numPr>
      <w:spacing w:before="40" w:after="0"/>
      <w:outlineLvl w:val="2"/>
    </w:pPr>
    <w:rPr>
      <w:rFonts w:eastAsiaTheme="majorEastAsia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07B37"/>
    <w:pPr>
      <w:keepNext/>
      <w:keepLines/>
      <w:numPr>
        <w:ilvl w:val="3"/>
        <w:numId w:val="3"/>
      </w:numPr>
      <w:spacing w:before="40" w:after="0"/>
      <w:outlineLvl w:val="3"/>
    </w:pPr>
    <w:rPr>
      <w:rFonts w:eastAsiaTheme="majorEastAsia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07B37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07B37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07B37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07B37"/>
    <w:pPr>
      <w:keepNext/>
      <w:keepLines/>
      <w:numPr>
        <w:ilvl w:val="7"/>
        <w:numId w:val="3"/>
      </w:numPr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07B37"/>
    <w:pPr>
      <w:keepNext/>
      <w:keepLines/>
      <w:numPr>
        <w:ilvl w:val="8"/>
        <w:numId w:val="3"/>
      </w:numPr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styleId="111111">
    <w:name w:val="Outline List 2"/>
    <w:basedOn w:val="Semlista"/>
    <w:uiPriority w:val="99"/>
    <w:semiHidden/>
    <w:unhideWhenUsed/>
    <w:rsid w:val="00D07B37"/>
    <w:pPr>
      <w:numPr>
        <w:numId w:val="1"/>
      </w:numPr>
    </w:pPr>
  </w:style>
  <w:style w:type="numbering" w:styleId="1ai">
    <w:name w:val="Outline List 1"/>
    <w:basedOn w:val="Semlista"/>
    <w:uiPriority w:val="99"/>
    <w:semiHidden/>
    <w:unhideWhenUsed/>
    <w:rsid w:val="00D07B37"/>
    <w:pPr>
      <w:numPr>
        <w:numId w:val="2"/>
      </w:numPr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D07B37"/>
    <w:rPr>
      <w:rFonts w:ascii="Arial" w:eastAsiaTheme="majorEastAsia" w:hAnsi="Arial" w:cs="Arial"/>
      <w:color w:val="2E74B5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07B37"/>
    <w:rPr>
      <w:rFonts w:ascii="Arial" w:eastAsiaTheme="majorEastAsia" w:hAnsi="Arial" w:cs="Arial"/>
      <w:color w:val="2E74B5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07B37"/>
    <w:rPr>
      <w:rFonts w:ascii="Arial" w:eastAsiaTheme="majorEastAsia" w:hAnsi="Arial" w:cs="Arial"/>
      <w:color w:val="1F4D78" w:themeColor="accent1" w:themeShade="7F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07B37"/>
    <w:rPr>
      <w:rFonts w:ascii="Arial" w:eastAsiaTheme="majorEastAsia" w:hAnsi="Arial" w:cs="Arial"/>
      <w:i/>
      <w:iCs/>
      <w:color w:val="2E74B5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07B37"/>
    <w:rPr>
      <w:rFonts w:ascii="Arial" w:eastAsiaTheme="majorEastAsia" w:hAnsi="Arial" w:cs="Arial"/>
      <w:color w:val="2E74B5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07B37"/>
    <w:rPr>
      <w:rFonts w:ascii="Arial" w:eastAsiaTheme="majorEastAsia" w:hAnsi="Arial" w:cs="Arial"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07B37"/>
    <w:rPr>
      <w:rFonts w:ascii="Arial" w:eastAsiaTheme="majorEastAsia" w:hAnsi="Arial" w:cs="Arial"/>
      <w:i/>
      <w:iCs/>
      <w:color w:val="1F4D78" w:themeColor="accent1" w:themeShade="7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07B37"/>
    <w:rPr>
      <w:rFonts w:ascii="Arial" w:eastAsiaTheme="majorEastAsia" w:hAnsi="Arial" w:cs="Arial"/>
      <w:color w:val="272727" w:themeColor="text1" w:themeTint="D8"/>
      <w:sz w:val="21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07B37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numbering" w:styleId="ArtigoSeco">
    <w:name w:val="Outline List 3"/>
    <w:basedOn w:val="Semlista"/>
    <w:uiPriority w:val="99"/>
    <w:semiHidden/>
    <w:unhideWhenUsed/>
    <w:rsid w:val="00D07B37"/>
    <w:pPr>
      <w:numPr>
        <w:numId w:val="3"/>
      </w:numPr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07B37"/>
    <w:pPr>
      <w:spacing w:after="0" w:line="240" w:lineRule="auto"/>
    </w:pPr>
    <w:rPr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7B37"/>
    <w:rPr>
      <w:rFonts w:ascii="Arial" w:hAnsi="Arial" w:cs="Arial"/>
      <w:sz w:val="18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D07B37"/>
  </w:style>
  <w:style w:type="paragraph" w:styleId="Textodebloco">
    <w:name w:val="Block Text"/>
    <w:basedOn w:val="Normal"/>
    <w:uiPriority w:val="99"/>
    <w:semiHidden/>
    <w:unhideWhenUsed/>
    <w:rsid w:val="00D07B3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D07B37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D07B37"/>
    <w:rPr>
      <w:rFonts w:ascii="Arial" w:hAnsi="Arial" w:cs="Arial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D07B37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D07B37"/>
    <w:rPr>
      <w:rFonts w:ascii="Arial" w:hAnsi="Arial" w:cs="Arial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D07B3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D07B37"/>
    <w:pPr>
      <w:spacing w:after="16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D07B37"/>
    <w:rPr>
      <w:rFonts w:ascii="Arial" w:hAnsi="Arial" w:cs="Arial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07B3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07B37"/>
    <w:rPr>
      <w:rFonts w:ascii="Arial" w:hAnsi="Arial" w:cs="Arial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D07B37"/>
    <w:pPr>
      <w:spacing w:after="16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D07B37"/>
    <w:rPr>
      <w:rFonts w:ascii="Arial" w:hAnsi="Arial" w:cs="Arial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D07B37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D07B37"/>
    <w:rPr>
      <w:rFonts w:ascii="Arial" w:hAnsi="Arial" w:cs="Arial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D07B37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D07B37"/>
    <w:rPr>
      <w:rFonts w:ascii="Arial" w:hAnsi="Arial" w:cs="Arial"/>
      <w:sz w:val="16"/>
      <w:szCs w:val="16"/>
    </w:rPr>
  </w:style>
  <w:style w:type="character" w:styleId="TtulodoLivro">
    <w:name w:val="Book Title"/>
    <w:basedOn w:val="Tipodeletrapredefinidodopargrafo"/>
    <w:uiPriority w:val="33"/>
    <w:qFormat/>
    <w:rsid w:val="00D07B37"/>
    <w:rPr>
      <w:rFonts w:ascii="Arial" w:hAnsi="Arial" w:cs="Arial"/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07B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D07B37"/>
    <w:rPr>
      <w:rFonts w:ascii="Arial" w:hAnsi="Arial" w:cs="Arial"/>
    </w:rPr>
  </w:style>
  <w:style w:type="table" w:styleId="GrelhaColorida">
    <w:name w:val="Colorful Grid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Colorida-Cor2">
    <w:name w:val="Colorful Grid Accent 2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Colorida-Cor3">
    <w:name w:val="Colorful Grid Accent 3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Colorida-Cor4">
    <w:name w:val="Colorful Grid Accent 4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Colorida-Cor5">
    <w:name w:val="Colorful Grid Accent 5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Colorida-Cor6">
    <w:name w:val="Colorful Grid Accent 6"/>
    <w:basedOn w:val="Tabelanormal"/>
    <w:uiPriority w:val="73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Colorida-Cor2">
    <w:name w:val="Colorful List Accent 2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Cor3">
    <w:name w:val="Colorful List Accent 3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Cor4">
    <w:name w:val="Colorful List Accent 4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Cor5">
    <w:name w:val="Colorful List Accent 5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Colorida-Cor6">
    <w:name w:val="Colorful List Accent 6"/>
    <w:basedOn w:val="Tabelanormal"/>
    <w:uiPriority w:val="72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Colorido">
    <w:name w:val="Colorful Shading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D07B37"/>
    <w:rPr>
      <w:rFonts w:ascii="Arial" w:hAnsi="Arial" w:cs="Arial"/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07B3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07B3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07B37"/>
    <w:rPr>
      <w:rFonts w:ascii="Arial" w:hAnsi="Arial" w:cs="Arial"/>
      <w:b/>
      <w:bCs/>
      <w:sz w:val="20"/>
      <w:szCs w:val="20"/>
    </w:rPr>
  </w:style>
  <w:style w:type="table" w:styleId="ListaEscura">
    <w:name w:val="Dark List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Escura-Cor2">
    <w:name w:val="Dark List Accent 2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Cor3">
    <w:name w:val="Dark List Accent 3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Cor4">
    <w:name w:val="Dark List Accent 4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Cor5">
    <w:name w:val="Dark List Accent 5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Escura-Cor6">
    <w:name w:val="Dark List Accent 6"/>
    <w:basedOn w:val="Tabelanormal"/>
    <w:uiPriority w:val="70"/>
    <w:semiHidden/>
    <w:unhideWhenUsed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D07B37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D07B37"/>
    <w:rPr>
      <w:rFonts w:ascii="Arial" w:hAnsi="Arial" w:cs="Arial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D07B37"/>
    <w:pPr>
      <w:spacing w:after="0" w:line="240" w:lineRule="auto"/>
    </w:pPr>
    <w:rPr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D07B37"/>
    <w:rPr>
      <w:rFonts w:ascii="Arial" w:hAnsi="Arial" w:cs="Arial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D07B37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D07B37"/>
    <w:rPr>
      <w:rFonts w:ascii="Arial" w:hAnsi="Arial" w:cs="Arial"/>
    </w:rPr>
  </w:style>
  <w:style w:type="character" w:styleId="nfase">
    <w:name w:val="Emphasis"/>
    <w:basedOn w:val="Tipodeletrapredefinidodopargrafo"/>
    <w:uiPriority w:val="20"/>
    <w:qFormat/>
    <w:rsid w:val="00D07B37"/>
    <w:rPr>
      <w:rFonts w:ascii="Arial" w:hAnsi="Arial" w:cs="Arial"/>
      <w:i/>
      <w:iCs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D07B37"/>
    <w:rPr>
      <w:rFonts w:ascii="Arial" w:hAnsi="Arial" w:cs="Arial"/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D07B37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eastAsiaTheme="majorEastAsia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D07B37"/>
    <w:pPr>
      <w:spacing w:after="0" w:line="240" w:lineRule="auto"/>
    </w:pPr>
    <w:rPr>
      <w:rFonts w:eastAsiaTheme="majorEastAsia"/>
      <w:sz w:val="20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07B37"/>
    <w:rPr>
      <w:rFonts w:ascii="Arial" w:hAnsi="Arial" w:cs="Arial"/>
      <w:color w:val="954F72" w:themeColor="followed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07B37"/>
    <w:rPr>
      <w:rFonts w:ascii="Arial" w:hAnsi="Arial" w:cs="Arial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07B37"/>
    <w:rPr>
      <w:rFonts w:ascii="Arial" w:hAnsi="Arial" w:cs="Arial"/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07B37"/>
    <w:rPr>
      <w:rFonts w:ascii="Arial" w:hAnsi="Arial" w:cs="Arial"/>
      <w:sz w:val="20"/>
      <w:szCs w:val="20"/>
    </w:rPr>
  </w:style>
  <w:style w:type="table" w:styleId="TabeladeGrelha1Clara">
    <w:name w:val="Grid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1">
    <w:name w:val="Grid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3">
    <w:name w:val="Grid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6">
    <w:name w:val="Grid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">
    <w:name w:val="Grid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2-Destaque1">
    <w:name w:val="Grid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2-Destaque2">
    <w:name w:val="Grid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2-Destaque3">
    <w:name w:val="Grid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2-Destaque4">
    <w:name w:val="Grid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2-Destaque5">
    <w:name w:val="Grid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2-Destaque6">
    <w:name w:val="Grid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3">
    <w:name w:val="Grid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3-Destaque1">
    <w:name w:val="Grid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3-Destaque2">
    <w:name w:val="Grid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3-Destaque3">
    <w:name w:val="Grid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3-Destaque4">
    <w:name w:val="Grid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3-Destaque5">
    <w:name w:val="Grid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3-Destaque6">
    <w:name w:val="Grid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4">
    <w:name w:val="Grid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1">
    <w:name w:val="Grid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4-Destaque2">
    <w:name w:val="Grid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4-Destaque3">
    <w:name w:val="Grid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4-Destaque5">
    <w:name w:val="Grid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4-Destaque6">
    <w:name w:val="Grid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">
    <w:name w:val="Grid Table 5 Dark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elha5Escura-Destaque1">
    <w:name w:val="Grid Table 5 Dark Accent 1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deGrelha5Escura-Destaque2">
    <w:name w:val="Grid Table 5 Dark Accent 2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deGrelha5Escura-Destaque3">
    <w:name w:val="Grid Table 5 Dark Accent 3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elha5Escura-Destaque4">
    <w:name w:val="Grid Table 5 Dark Accent 4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deGrelha5Escura-Destaque5">
    <w:name w:val="Grid Table 5 Dark Accent 5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elha5Escura-Destaque6">
    <w:name w:val="Grid Table 5 Dark Accent 6"/>
    <w:basedOn w:val="Tabelanormal"/>
    <w:uiPriority w:val="50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6Colorida">
    <w:name w:val="Grid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6Colorida-Destaque1">
    <w:name w:val="Grid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6Colorida-Destaque2">
    <w:name w:val="Grid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6Colorida-Destaque3">
    <w:name w:val="Grid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6Colorida-Destaque5">
    <w:name w:val="Grid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6Colorida-Destaque6">
    <w:name w:val="Grid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7Colorida">
    <w:name w:val="Grid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7Colorida-Destaque1">
    <w:name w:val="Grid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7Colorida-Destaque2">
    <w:name w:val="Grid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7Colorida-Destaque3">
    <w:name w:val="Grid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7Colorida-Destaque4">
    <w:name w:val="Grid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7Colorida-Destaque5">
    <w:name w:val="Grid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7Colorida-Destaque6">
    <w:name w:val="Grid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Cabealho">
    <w:name w:val="header"/>
    <w:basedOn w:val="Normal"/>
    <w:link w:val="CabealhoCarter"/>
    <w:uiPriority w:val="99"/>
    <w:unhideWhenUsed/>
    <w:rsid w:val="00D07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07B37"/>
    <w:rPr>
      <w:rFonts w:ascii="Arial" w:hAnsi="Arial" w:cs="Arial"/>
    </w:rPr>
  </w:style>
  <w:style w:type="character" w:styleId="AcrnimoHTML">
    <w:name w:val="HTML Acronym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D07B37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D07B37"/>
    <w:rPr>
      <w:rFonts w:ascii="Arial" w:hAnsi="Arial" w:cs="Arial"/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CdigoHTML">
    <w:name w:val="HTML Code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DefinioHTML">
    <w:name w:val="HTML Definition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TecladoHTML">
    <w:name w:val="HTML Keyboard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D07B37"/>
    <w:pPr>
      <w:spacing w:after="0" w:line="240" w:lineRule="auto"/>
    </w:pPr>
    <w:rPr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D07B37"/>
    <w:rPr>
      <w:rFonts w:ascii="Arial" w:hAnsi="Arial" w:cs="Arial"/>
      <w:sz w:val="20"/>
      <w:szCs w:val="20"/>
    </w:rPr>
  </w:style>
  <w:style w:type="character" w:styleId="ExemplodeHTML">
    <w:name w:val="HTML Sample"/>
    <w:basedOn w:val="Tipodeletrapredefinidodopargrafo"/>
    <w:uiPriority w:val="99"/>
    <w:semiHidden/>
    <w:unhideWhenUsed/>
    <w:rsid w:val="00D07B37"/>
    <w:rPr>
      <w:rFonts w:ascii="Arial" w:hAnsi="Arial" w:cs="Arial"/>
      <w:sz w:val="24"/>
      <w:szCs w:val="24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D07B37"/>
    <w:rPr>
      <w:rFonts w:ascii="Arial" w:hAnsi="Arial" w:cs="Arial"/>
      <w:sz w:val="20"/>
      <w:szCs w:val="20"/>
    </w:rPr>
  </w:style>
  <w:style w:type="character" w:styleId="VarivelHTML">
    <w:name w:val="HTML Variable"/>
    <w:basedOn w:val="Tipodeletrapredefinidodopargrafo"/>
    <w:uiPriority w:val="99"/>
    <w:semiHidden/>
    <w:unhideWhenUsed/>
    <w:rsid w:val="00D07B37"/>
    <w:rPr>
      <w:rFonts w:ascii="Arial" w:hAnsi="Arial" w:cs="Arial"/>
      <w:i/>
      <w:iCs/>
    </w:rPr>
  </w:style>
  <w:style w:type="character" w:styleId="Hiperligao">
    <w:name w:val="Hyperlink"/>
    <w:basedOn w:val="Tipodeletrapredefinidodopargrafo"/>
    <w:uiPriority w:val="99"/>
    <w:unhideWhenUsed/>
    <w:rsid w:val="00D07B37"/>
    <w:rPr>
      <w:rFonts w:ascii="Arial" w:hAnsi="Arial" w:cs="Arial"/>
      <w:color w:val="0563C1" w:themeColor="hyperlink"/>
      <w:u w:val="single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D07B37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D07B37"/>
    <w:rPr>
      <w:rFonts w:eastAsiaTheme="majorEastAsia"/>
      <w:b/>
      <w:bCs/>
    </w:rPr>
  </w:style>
  <w:style w:type="character" w:styleId="nfaseIntensa">
    <w:name w:val="Intense Emphasis"/>
    <w:basedOn w:val="Tipodeletrapredefinidodopargrafo"/>
    <w:uiPriority w:val="21"/>
    <w:qFormat/>
    <w:rsid w:val="00D07B37"/>
    <w:rPr>
      <w:rFonts w:ascii="Arial" w:hAnsi="Arial" w:cs="Arial"/>
      <w:i/>
      <w:iCs/>
      <w:color w:val="5B9BD5" w:themeColor="accen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07B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07B37"/>
    <w:rPr>
      <w:rFonts w:ascii="Arial" w:hAnsi="Arial" w:cs="Arial"/>
      <w:i/>
      <w:iCs/>
      <w:color w:val="5B9BD5" w:themeColor="accent1"/>
    </w:rPr>
  </w:style>
  <w:style w:type="character" w:styleId="RefernciaIntensa">
    <w:name w:val="Intense Reference"/>
    <w:basedOn w:val="Tipodeletrapredefinidodopargrafo"/>
    <w:uiPriority w:val="32"/>
    <w:qFormat/>
    <w:rsid w:val="00D07B37"/>
    <w:rPr>
      <w:rFonts w:ascii="Arial" w:hAnsi="Arial" w:cs="Arial"/>
      <w:b/>
      <w:bCs/>
      <w:smallCaps/>
      <w:color w:val="5B9BD5" w:themeColor="accent1"/>
      <w:spacing w:val="5"/>
    </w:rPr>
  </w:style>
  <w:style w:type="table" w:styleId="GrelhaClara">
    <w:name w:val="Light Grid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elhaClara-Cor2">
    <w:name w:val="Light Grid Accent 2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elhaClara-Cor3">
    <w:name w:val="Light Grid Accent 3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elhaClara-Cor4">
    <w:name w:val="Light Grid Accent 4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elhaClara-Cor5">
    <w:name w:val="Light Grid Accent 5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elhaClara-Cor6">
    <w:name w:val="Light Grid Accent 6"/>
    <w:basedOn w:val="Tabelanormal"/>
    <w:uiPriority w:val="62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Cor2">
    <w:name w:val="Light List Accent 2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Cor3">
    <w:name w:val="Light List Accent 3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Cor4">
    <w:name w:val="Light List Accent 4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Cor6">
    <w:name w:val="Light List Accent 6"/>
    <w:basedOn w:val="Tabelanormal"/>
    <w:uiPriority w:val="61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elanormal"/>
    <w:uiPriority w:val="60"/>
    <w:semiHidden/>
    <w:unhideWhenUsed/>
    <w:rsid w:val="00D07B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semiHidden/>
    <w:unhideWhenUsed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Cor2">
    <w:name w:val="Light Shading Accent 2"/>
    <w:basedOn w:val="Tabelanormal"/>
    <w:uiPriority w:val="60"/>
    <w:semiHidden/>
    <w:unhideWhenUsed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Cor3">
    <w:name w:val="Light Shading Accent 3"/>
    <w:basedOn w:val="Tabelanormal"/>
    <w:uiPriority w:val="60"/>
    <w:semiHidden/>
    <w:unhideWhenUsed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Cor4">
    <w:name w:val="Light Shading Accent 4"/>
    <w:basedOn w:val="Tabelanormal"/>
    <w:uiPriority w:val="60"/>
    <w:semiHidden/>
    <w:unhideWhenUsed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Cor5">
    <w:name w:val="Light Shading Accent 5"/>
    <w:basedOn w:val="Tabelanormal"/>
    <w:uiPriority w:val="60"/>
    <w:semiHidden/>
    <w:unhideWhenUsed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Cor6">
    <w:name w:val="Light Shading Accent 6"/>
    <w:basedOn w:val="Tabelanormal"/>
    <w:uiPriority w:val="60"/>
    <w:semiHidden/>
    <w:unhideWhenUsed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paragraph" w:styleId="Lista">
    <w:name w:val="List"/>
    <w:basedOn w:val="Normal"/>
    <w:uiPriority w:val="99"/>
    <w:semiHidden/>
    <w:unhideWhenUsed/>
    <w:rsid w:val="00D07B37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D07B37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D07B37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D07B37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D07B37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D07B37"/>
    <w:pPr>
      <w:numPr>
        <w:numId w:val="4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D07B37"/>
    <w:pPr>
      <w:numPr>
        <w:numId w:val="5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D07B37"/>
    <w:pPr>
      <w:numPr>
        <w:numId w:val="6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D07B37"/>
    <w:pPr>
      <w:numPr>
        <w:numId w:val="7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D07B37"/>
    <w:pPr>
      <w:numPr>
        <w:numId w:val="8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D07B37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D07B37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D07B37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D07B37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D07B37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D07B37"/>
    <w:pPr>
      <w:numPr>
        <w:numId w:val="9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D07B37"/>
    <w:pPr>
      <w:numPr>
        <w:numId w:val="10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D07B37"/>
    <w:pPr>
      <w:numPr>
        <w:numId w:val="11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D07B37"/>
    <w:pPr>
      <w:numPr>
        <w:numId w:val="12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D07B37"/>
    <w:pPr>
      <w:numPr>
        <w:numId w:val="13"/>
      </w:numPr>
      <w:contextualSpacing/>
    </w:pPr>
  </w:style>
  <w:style w:type="paragraph" w:styleId="PargrafodaLista">
    <w:name w:val="List Paragraph"/>
    <w:basedOn w:val="Normal"/>
    <w:uiPriority w:val="34"/>
    <w:qFormat/>
    <w:rsid w:val="00D07B37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Destaque1">
    <w:name w:val="List Table 1 Light Accent 1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1Clara-Destaque2">
    <w:name w:val="List Table 1 Light Accent 2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1Clara-Destaque3">
    <w:name w:val="List Table 1 Light Accent 3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1Clara-Destaque4">
    <w:name w:val="List Table 1 Light Accent 4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1Clara-Destaque5">
    <w:name w:val="List Table 1 Light Accent 5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1Clara-Destaque6">
    <w:name w:val="List Table 1 Light Accent 6"/>
    <w:basedOn w:val="Tabelanormal"/>
    <w:uiPriority w:val="46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2">
    <w:name w:val="List Table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Destaque1">
    <w:name w:val="List Table 2 Accent 1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2-Destaque2">
    <w:name w:val="List Table 2 Accent 2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2-Destaque3">
    <w:name w:val="List Table 2 Accent 3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2-Destaque4">
    <w:name w:val="List Table 2 Accent 4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2-Destaque5">
    <w:name w:val="List Table 2 Accent 5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2-Destaque6">
    <w:name w:val="List Table 2 Accent 6"/>
    <w:basedOn w:val="Tabelanormal"/>
    <w:uiPriority w:val="47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">
    <w:name w:val="List Table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Destaque1">
    <w:name w:val="List Table 3 Accent 1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Lista3-Destaque2">
    <w:name w:val="List Table 3 Accent 2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deLista3-Destaque3">
    <w:name w:val="List Table 3 Accent 3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deLista3-Destaque4">
    <w:name w:val="List Table 3 Accent 4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deLista3-Destaque5">
    <w:name w:val="List Table 3 Accent 5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Destaque6">
    <w:name w:val="List Table 3 Accent 6"/>
    <w:basedOn w:val="Tabelanormal"/>
    <w:uiPriority w:val="48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Destaque1">
    <w:name w:val="List Table 4 Accent 1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4-Destaque2">
    <w:name w:val="List Table 4 Accent 2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4-Destaque3">
    <w:name w:val="List Table 4 Accent 3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Destaque4">
    <w:name w:val="List Table 4 Accent 4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4-Destaque5">
    <w:name w:val="List Table 4 Accent 5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4-Destaque6">
    <w:name w:val="List Table 4 Accent 6"/>
    <w:basedOn w:val="Tabelanormal"/>
    <w:uiPriority w:val="49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1">
    <w:name w:val="List Table 5 Dark Accent 1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2">
    <w:name w:val="List Table 5 Dark Accent 2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3">
    <w:name w:val="List Table 5 Dark Accent 3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4">
    <w:name w:val="List Table 5 Dark Accent 4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5">
    <w:name w:val="List Table 5 Dark Accent 5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6">
    <w:name w:val="List Table 5 Dark Accent 6"/>
    <w:basedOn w:val="Tabelanormal"/>
    <w:uiPriority w:val="50"/>
    <w:rsid w:val="00D07B3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Destaque1">
    <w:name w:val="List Table 6 Colorful Accent 1"/>
    <w:basedOn w:val="Tabelanormal"/>
    <w:uiPriority w:val="51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6Colorida-Destaque2">
    <w:name w:val="List Table 6 Colorful Accent 2"/>
    <w:basedOn w:val="Tabelanormal"/>
    <w:uiPriority w:val="51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6Colorida-Destaque3">
    <w:name w:val="List Table 6 Colorful Accent 3"/>
    <w:basedOn w:val="Tabelanormal"/>
    <w:uiPriority w:val="51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6Colorida-Destaque4">
    <w:name w:val="List Table 6 Colorful Accent 4"/>
    <w:basedOn w:val="Tabelanormal"/>
    <w:uiPriority w:val="51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6Colorida-Destaque5">
    <w:name w:val="List Table 6 Colorful Accent 5"/>
    <w:basedOn w:val="Tabelanormal"/>
    <w:uiPriority w:val="51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6Colorida-Destaque6">
    <w:name w:val="List Table 6 Colorful Accent 6"/>
    <w:basedOn w:val="Tabelanormal"/>
    <w:uiPriority w:val="51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1">
    <w:name w:val="List Table 7 Colorful Accent 1"/>
    <w:basedOn w:val="Tabelanormal"/>
    <w:uiPriority w:val="52"/>
    <w:rsid w:val="00D07B3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2">
    <w:name w:val="List Table 7 Colorful Accent 2"/>
    <w:basedOn w:val="Tabelanormal"/>
    <w:uiPriority w:val="52"/>
    <w:rsid w:val="00D07B3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3">
    <w:name w:val="List Table 7 Colorful Accent 3"/>
    <w:basedOn w:val="Tabelanormal"/>
    <w:uiPriority w:val="52"/>
    <w:rsid w:val="00D07B37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4">
    <w:name w:val="List Table 7 Colorful Accent 4"/>
    <w:basedOn w:val="Tabelanormal"/>
    <w:uiPriority w:val="52"/>
    <w:rsid w:val="00D07B37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5">
    <w:name w:val="List Table 7 Colorful Accent 5"/>
    <w:basedOn w:val="Tabelanormal"/>
    <w:uiPriority w:val="52"/>
    <w:rsid w:val="00D07B3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6">
    <w:name w:val="List Table 7 Colorful Accent 6"/>
    <w:basedOn w:val="Tabelanormal"/>
    <w:uiPriority w:val="52"/>
    <w:rsid w:val="00D07B37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arter"/>
    <w:uiPriority w:val="99"/>
    <w:semiHidden/>
    <w:unhideWhenUsed/>
    <w:rsid w:val="00D07B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Arial" w:hAnsi="Arial" w:cs="Arial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D07B37"/>
    <w:rPr>
      <w:rFonts w:ascii="Arial" w:hAnsi="Arial" w:cs="Arial"/>
      <w:sz w:val="20"/>
      <w:szCs w:val="20"/>
    </w:rPr>
  </w:style>
  <w:style w:type="table" w:styleId="GrelhaMdia1">
    <w:name w:val="Medium Grid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Mdia1-Cor2">
    <w:name w:val="Medium Grid 1 Accent 2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Mdia1-Cor3">
    <w:name w:val="Medium Grid 1 Accent 3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Mdia1-Cor4">
    <w:name w:val="Medium Grid 1 Accent 4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Mdia1-Cor5">
    <w:name w:val="Medium Grid 1 Accent 5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Mdia1-Cor6">
    <w:name w:val="Medium Grid 1 Accent 6"/>
    <w:basedOn w:val="Tabelanormal"/>
    <w:uiPriority w:val="67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elhaMdia2">
    <w:name w:val="Medium Grid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elhaMdia3-Cor2">
    <w:name w:val="Medium Grid 3 Accent 2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elhaMdia3-Cor3">
    <w:name w:val="Medium Grid 3 Accent 3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elhaMdia3-Cor4">
    <w:name w:val="Medium Grid 3 Accent 4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elhaMdia3-Cor5">
    <w:name w:val="Medium Grid 3 Accent 5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elhaMdia3-Cor6">
    <w:name w:val="Medium Grid 3 Accent 6"/>
    <w:basedOn w:val="Tabelanormal"/>
    <w:uiPriority w:val="69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dia1-Cor2">
    <w:name w:val="Medium List 1 Accent 2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Cor3">
    <w:name w:val="Medium List 1 Accent 3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Cor4">
    <w:name w:val="Medium List 1 Accent 4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Cor5">
    <w:name w:val="Medium List 1 Accent 5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dia1-Cor6">
    <w:name w:val="Medium List 1 Accent 6"/>
    <w:basedOn w:val="Tabelanormal"/>
    <w:uiPriority w:val="65"/>
    <w:semiHidden/>
    <w:unhideWhenUsed/>
    <w:rsid w:val="00D07B3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semiHidden/>
    <w:unhideWhenUsed/>
    <w:rsid w:val="00D07B37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dio1">
    <w:name w:val="Medium Shading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semiHidden/>
    <w:unhideWhenUsed/>
    <w:rsid w:val="00D07B3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D07B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D07B37"/>
    <w:rPr>
      <w:rFonts w:ascii="Arial" w:eastAsiaTheme="majorEastAsia" w:hAnsi="Arial" w:cs="Arial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D07B37"/>
    <w:pPr>
      <w:spacing w:after="0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D07B37"/>
    <w:rPr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D07B37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D07B37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D07B37"/>
    <w:rPr>
      <w:rFonts w:ascii="Arial" w:hAnsi="Arial" w:cs="Arial"/>
    </w:rPr>
  </w:style>
  <w:style w:type="character" w:styleId="Nmerodepgina">
    <w:name w:val="page number"/>
    <w:basedOn w:val="Tipodeletrapredefinidodopargrafo"/>
    <w:uiPriority w:val="99"/>
    <w:semiHidden/>
    <w:unhideWhenUsed/>
    <w:rsid w:val="00D07B37"/>
    <w:rPr>
      <w:rFonts w:ascii="Arial" w:hAnsi="Arial" w:cs="Arial"/>
    </w:rPr>
  </w:style>
  <w:style w:type="character" w:styleId="TextodoMarcadordePosio">
    <w:name w:val="Placeholder Text"/>
    <w:basedOn w:val="Tipodeletrapredefinidodopargrafo"/>
    <w:uiPriority w:val="99"/>
    <w:semiHidden/>
    <w:rsid w:val="00D07B37"/>
    <w:rPr>
      <w:rFonts w:ascii="Arial" w:hAnsi="Arial" w:cs="Arial"/>
      <w:color w:val="808080"/>
    </w:rPr>
  </w:style>
  <w:style w:type="table" w:styleId="SimplesTabela1">
    <w:name w:val="Plain Table 1"/>
    <w:basedOn w:val="Tabelanormal"/>
    <w:uiPriority w:val="41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D07B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D07B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mples">
    <w:name w:val="Plain Text"/>
    <w:basedOn w:val="Normal"/>
    <w:link w:val="TextosimplesCarter"/>
    <w:uiPriority w:val="99"/>
    <w:semiHidden/>
    <w:unhideWhenUsed/>
    <w:rsid w:val="00D07B37"/>
    <w:pPr>
      <w:spacing w:after="0" w:line="240" w:lineRule="auto"/>
    </w:pPr>
    <w:rPr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D07B37"/>
    <w:rPr>
      <w:rFonts w:ascii="Arial" w:hAnsi="Arial" w:cs="Arial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D07B3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07B37"/>
    <w:rPr>
      <w:rFonts w:ascii="Arial" w:hAnsi="Arial" w:cs="Arial"/>
      <w:i/>
      <w:iCs/>
      <w:color w:val="404040" w:themeColor="text1" w:themeTint="BF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D07B37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D07B37"/>
    <w:rPr>
      <w:rFonts w:ascii="Arial" w:hAnsi="Arial" w:cs="Arial"/>
    </w:rPr>
  </w:style>
  <w:style w:type="paragraph" w:styleId="Assinatura">
    <w:name w:val="Signature"/>
    <w:basedOn w:val="Normal"/>
    <w:link w:val="AssinaturaCarter"/>
    <w:uiPriority w:val="99"/>
    <w:semiHidden/>
    <w:unhideWhenUsed/>
    <w:rsid w:val="00D07B37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D07B37"/>
    <w:rPr>
      <w:rFonts w:ascii="Arial" w:hAnsi="Arial" w:cs="Arial"/>
    </w:rPr>
  </w:style>
  <w:style w:type="character" w:styleId="Forte">
    <w:name w:val="Strong"/>
    <w:basedOn w:val="Tipodeletrapredefinidodopargrafo"/>
    <w:uiPriority w:val="22"/>
    <w:qFormat/>
    <w:rsid w:val="00D07B37"/>
    <w:rPr>
      <w:rFonts w:ascii="Arial" w:hAnsi="Arial" w:cs="Arial"/>
      <w:b/>
      <w:bCs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07B3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07B37"/>
    <w:rPr>
      <w:rFonts w:ascii="Arial" w:eastAsiaTheme="minorEastAsia" w:hAnsi="Arial" w:cs="Arial"/>
      <w:color w:val="5A5A5A" w:themeColor="text1" w:themeTint="A5"/>
      <w:spacing w:val="15"/>
    </w:rPr>
  </w:style>
  <w:style w:type="character" w:styleId="nfaseDiscreta">
    <w:name w:val="Subtle Emphasis"/>
    <w:basedOn w:val="Tipodeletrapredefinidodopargrafo"/>
    <w:uiPriority w:val="19"/>
    <w:qFormat/>
    <w:rsid w:val="00D07B37"/>
    <w:rPr>
      <w:rFonts w:ascii="Arial" w:hAnsi="Arial" w:cs="Arial"/>
      <w:i/>
      <w:iCs/>
      <w:color w:val="404040" w:themeColor="text1" w:themeTint="BF"/>
    </w:rPr>
  </w:style>
  <w:style w:type="character" w:styleId="RefernciaDiscreta">
    <w:name w:val="Subtle Reference"/>
    <w:basedOn w:val="Tipodeletrapredefinidodopargrafo"/>
    <w:uiPriority w:val="31"/>
    <w:qFormat/>
    <w:rsid w:val="00D07B37"/>
    <w:rPr>
      <w:rFonts w:ascii="Arial" w:hAnsi="Arial" w:cs="Arial"/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D07B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D07B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D07B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D07B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D07B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D07B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D07B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colunas1">
    <w:name w:val="Table Columns 1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2">
    <w:name w:val="Table Columns 2"/>
    <w:basedOn w:val="Tabelanormal"/>
    <w:uiPriority w:val="99"/>
    <w:semiHidden/>
    <w:unhideWhenUsed/>
    <w:rsid w:val="00D07B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3">
    <w:name w:val="Table Columns 3"/>
    <w:basedOn w:val="Tabelanormal"/>
    <w:uiPriority w:val="99"/>
    <w:semiHidden/>
    <w:unhideWhenUsed/>
    <w:rsid w:val="00D07B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4">
    <w:name w:val="Table Columns 4"/>
    <w:basedOn w:val="Tabelanormal"/>
    <w:uiPriority w:val="99"/>
    <w:semiHidden/>
    <w:unhideWhenUsed/>
    <w:rsid w:val="00D07B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comcolunas5">
    <w:name w:val="Table Columns 5"/>
    <w:basedOn w:val="Tabelanormal"/>
    <w:uiPriority w:val="99"/>
    <w:semiHidden/>
    <w:unhideWhenUsed/>
    <w:rsid w:val="00D07B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D07B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D07B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">
    <w:name w:val="Table Grid"/>
    <w:basedOn w:val="Tabelanormal"/>
    <w:uiPriority w:val="39"/>
    <w:rsid w:val="00D07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1">
    <w:name w:val="Table Grid 1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2">
    <w:name w:val="Table Grid 2"/>
    <w:basedOn w:val="Tabelanormal"/>
    <w:uiPriority w:val="99"/>
    <w:semiHidden/>
    <w:unhideWhenUsed/>
    <w:rsid w:val="00D07B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3">
    <w:name w:val="Table Grid 3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4">
    <w:name w:val="Table Grid 4"/>
    <w:basedOn w:val="Tabelanormal"/>
    <w:uiPriority w:val="99"/>
    <w:semiHidden/>
    <w:unhideWhenUsed/>
    <w:rsid w:val="00D07B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5">
    <w:name w:val="Table Grid 5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6">
    <w:name w:val="Table Grid 6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7">
    <w:name w:val="Table Grid 7"/>
    <w:basedOn w:val="Tabelanormal"/>
    <w:uiPriority w:val="99"/>
    <w:semiHidden/>
    <w:unhideWhenUsed/>
    <w:rsid w:val="00D07B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8">
    <w:name w:val="Table Grid 8"/>
    <w:basedOn w:val="Tabelanormal"/>
    <w:uiPriority w:val="99"/>
    <w:semiHidden/>
    <w:unhideWhenUsed/>
    <w:rsid w:val="00D07B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Clara">
    <w:name w:val="Grid Table Light"/>
    <w:basedOn w:val="Tabelanormal"/>
    <w:uiPriority w:val="40"/>
    <w:rsid w:val="00D07B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lista1">
    <w:name w:val="Table List 1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2">
    <w:name w:val="Table List 2"/>
    <w:basedOn w:val="Tabelanormal"/>
    <w:uiPriority w:val="99"/>
    <w:semiHidden/>
    <w:unhideWhenUsed/>
    <w:rsid w:val="00D07B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3">
    <w:name w:val="Table List 3"/>
    <w:basedOn w:val="Tabelanormal"/>
    <w:uiPriority w:val="99"/>
    <w:semiHidden/>
    <w:unhideWhenUsed/>
    <w:rsid w:val="00D07B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4">
    <w:name w:val="Table List 4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comlista5">
    <w:name w:val="Table List 5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6">
    <w:name w:val="Table List 6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comlista7">
    <w:name w:val="Table List 7"/>
    <w:basedOn w:val="Tabelanormal"/>
    <w:uiPriority w:val="99"/>
    <w:semiHidden/>
    <w:unhideWhenUsed/>
    <w:rsid w:val="00D07B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comlista8">
    <w:name w:val="Table List 8"/>
    <w:basedOn w:val="Tabelanormal"/>
    <w:uiPriority w:val="99"/>
    <w:semiHidden/>
    <w:unhideWhenUsed/>
    <w:rsid w:val="00D07B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D07B37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D07B37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D07B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D07B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D07B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D07B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discreta1">
    <w:name w:val="Table Subtle 1"/>
    <w:basedOn w:val="Tabelanormal"/>
    <w:uiPriority w:val="99"/>
    <w:semiHidden/>
    <w:unhideWhenUsed/>
    <w:rsid w:val="00D07B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iscreta2">
    <w:name w:val="Table Subtle 2"/>
    <w:basedOn w:val="Tabelanormal"/>
    <w:uiPriority w:val="99"/>
    <w:semiHidden/>
    <w:unhideWhenUsed/>
    <w:rsid w:val="00D07B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D07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Web1">
    <w:name w:val="Table Web 1"/>
    <w:basedOn w:val="Tabelanormal"/>
    <w:uiPriority w:val="99"/>
    <w:semiHidden/>
    <w:unhideWhenUsed/>
    <w:rsid w:val="00D07B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2">
    <w:name w:val="Table Web 2"/>
    <w:basedOn w:val="Tabelanormal"/>
    <w:uiPriority w:val="99"/>
    <w:semiHidden/>
    <w:unhideWhenUsed/>
    <w:rsid w:val="00D07B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3">
    <w:name w:val="Table Web 3"/>
    <w:basedOn w:val="Tabelanormal"/>
    <w:uiPriority w:val="99"/>
    <w:semiHidden/>
    <w:unhideWhenUsed/>
    <w:rsid w:val="00D07B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arter"/>
    <w:uiPriority w:val="10"/>
    <w:qFormat/>
    <w:rsid w:val="00D07B37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07B37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D07B37"/>
    <w:pPr>
      <w:spacing w:before="120"/>
    </w:pPr>
    <w:rPr>
      <w:rFonts w:eastAsiaTheme="majorEastAsia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D07B37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D07B37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D07B37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D07B37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D07B37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D07B37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D07B37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D07B37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D07B37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D07B37"/>
    <w:pPr>
      <w:numPr>
        <w:numId w:val="0"/>
      </w:num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6813</Characters>
  <Application>Microsoft Office Word</Application>
  <DocSecurity>0</DocSecurity>
  <Lines>206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Norgine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Vila-Real</dc:creator>
  <cp:keywords/>
  <dc:description/>
  <cp:lastModifiedBy>Paula Guimaraes</cp:lastModifiedBy>
  <cp:revision>9</cp:revision>
  <dcterms:created xsi:type="dcterms:W3CDTF">2023-03-14T15:33:00Z</dcterms:created>
  <dcterms:modified xsi:type="dcterms:W3CDTF">2026-10-26T11:15:00Z</dcterms:modified>
</cp:coreProperties>
</file>