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E1BC8" w14:textId="232AE512" w:rsidR="00AF347B" w:rsidRPr="00B7707C" w:rsidRDefault="009E77B9" w:rsidP="009E77B9">
      <w:pPr>
        <w:spacing w:after="0" w:line="240" w:lineRule="auto"/>
        <w:jc w:val="center"/>
        <w:rPr>
          <w:rFonts w:ascii="Verdana" w:eastAsia="Times New Roman" w:hAnsi="Verdana" w:cs="Times New Roman"/>
          <w:bCs/>
          <w:sz w:val="20"/>
          <w:szCs w:val="24"/>
        </w:rPr>
      </w:pPr>
      <w:r>
        <w:rPr>
          <w:rFonts w:ascii="Verdana" w:eastAsia="Times New Roman" w:hAnsi="Verdana" w:cs="Times New Roman"/>
          <w:bCs/>
          <w:sz w:val="20"/>
          <w:szCs w:val="24"/>
        </w:rPr>
        <w:t xml:space="preserve">INFORMAÇÕES COMPATÍVEIS COM O </w:t>
      </w:r>
      <w:r w:rsidR="00AF347B" w:rsidRPr="00B7707C">
        <w:rPr>
          <w:rFonts w:ascii="Verdana" w:eastAsia="Times New Roman" w:hAnsi="Verdana" w:cs="Times New Roman"/>
          <w:bCs/>
          <w:sz w:val="20"/>
          <w:szCs w:val="24"/>
        </w:rPr>
        <w:t>RESUMO DAS CARACTERÍSTICAS DO MEDICAMENTO</w:t>
      </w:r>
    </w:p>
    <w:p w14:paraId="745CA264" w14:textId="77777777" w:rsidR="00AF347B" w:rsidRPr="00B7707C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bCs/>
          <w:sz w:val="20"/>
          <w:szCs w:val="24"/>
        </w:rPr>
      </w:pPr>
    </w:p>
    <w:p w14:paraId="20CED542" w14:textId="77777777" w:rsidR="00AF347B" w:rsidRPr="00B7707C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bCs/>
          <w:sz w:val="20"/>
          <w:szCs w:val="24"/>
        </w:rPr>
      </w:pPr>
    </w:p>
    <w:p w14:paraId="39D8136D" w14:textId="2B4441E5" w:rsidR="00AF347B" w:rsidRPr="00763BFC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4"/>
        </w:rPr>
      </w:pPr>
      <w:r w:rsidRPr="00763BFC">
        <w:rPr>
          <w:rFonts w:ascii="Verdana" w:eastAsia="Times New Roman" w:hAnsi="Verdana" w:cs="Times New Roman"/>
          <w:b/>
          <w:sz w:val="20"/>
          <w:szCs w:val="24"/>
        </w:rPr>
        <w:t>NOME DO MEDICAMENTO</w:t>
      </w:r>
    </w:p>
    <w:p w14:paraId="316E1D42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68652C97" w14:textId="6FC0D704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 w:rsidRPr="00AF347B">
        <w:rPr>
          <w:rFonts w:ascii="Verdana" w:eastAsia="Times New Roman" w:hAnsi="Verdana" w:cs="Times New Roman"/>
          <w:sz w:val="20"/>
          <w:szCs w:val="24"/>
        </w:rPr>
        <w:t>M</w:t>
      </w:r>
      <w:r w:rsidR="00AE3517">
        <w:rPr>
          <w:rFonts w:ascii="Verdana" w:eastAsia="Times New Roman" w:hAnsi="Verdana" w:cs="Times New Roman"/>
          <w:sz w:val="20"/>
          <w:szCs w:val="24"/>
        </w:rPr>
        <w:t>OVICOL</w:t>
      </w:r>
      <w:r w:rsidRPr="00AF347B">
        <w:rPr>
          <w:rFonts w:ascii="Verdana" w:eastAsia="Times New Roman" w:hAnsi="Verdana" w:cs="Times New Roman"/>
          <w:sz w:val="20"/>
          <w:szCs w:val="24"/>
        </w:rPr>
        <w:t xml:space="preserve"> </w:t>
      </w:r>
      <w:smartTag w:uri="urn:schemas-microsoft-com:office:smarttags" w:element="metricconverter">
        <w:smartTagPr>
          <w:attr w:name="ProductID" w:val="13,8 g"/>
        </w:smartTagPr>
        <w:r w:rsidRPr="00AF347B">
          <w:rPr>
            <w:rFonts w:ascii="Verdana" w:eastAsia="Times New Roman" w:hAnsi="Verdana" w:cs="Times New Roman"/>
            <w:sz w:val="20"/>
            <w:szCs w:val="24"/>
          </w:rPr>
          <w:t>13,8 g</w:t>
        </w:r>
      </w:smartTag>
      <w:r w:rsidRPr="00AF347B">
        <w:rPr>
          <w:rFonts w:ascii="Verdana" w:eastAsia="Times New Roman" w:hAnsi="Verdana" w:cs="Times New Roman"/>
          <w:sz w:val="20"/>
          <w:szCs w:val="24"/>
        </w:rPr>
        <w:t xml:space="preserve"> pó para solução oral</w:t>
      </w:r>
    </w:p>
    <w:p w14:paraId="0C6C7EDD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394BAE3D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27683EB7" w14:textId="13CE70BD" w:rsidR="00AF347B" w:rsidRPr="00763BFC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4"/>
        </w:rPr>
      </w:pPr>
      <w:r w:rsidRPr="00763BFC">
        <w:rPr>
          <w:rFonts w:ascii="Verdana" w:eastAsia="Times New Roman" w:hAnsi="Verdana" w:cs="Times New Roman"/>
          <w:b/>
          <w:sz w:val="20"/>
          <w:szCs w:val="24"/>
        </w:rPr>
        <w:t>COMPOSICÃO QUALITATIVA E QUANTITATIVA</w:t>
      </w:r>
    </w:p>
    <w:p w14:paraId="653AC32D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1A5E873E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 w:rsidRPr="00AF347B">
        <w:rPr>
          <w:rFonts w:ascii="Verdana" w:eastAsia="Times New Roman" w:hAnsi="Verdana" w:cs="Times New Roman"/>
          <w:sz w:val="20"/>
          <w:szCs w:val="24"/>
        </w:rPr>
        <w:t>Cada saqueta de Movicol contém as seguintes substâncias ativas:</w:t>
      </w:r>
    </w:p>
    <w:p w14:paraId="37770C99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6D2B1076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 w:rsidRPr="00AF347B">
        <w:rPr>
          <w:rFonts w:ascii="Verdana" w:eastAsia="Times New Roman" w:hAnsi="Verdana" w:cs="Times New Roman"/>
          <w:sz w:val="20"/>
          <w:szCs w:val="24"/>
        </w:rPr>
        <w:t>Macrogol 3350</w:t>
      </w:r>
      <w:r w:rsidRPr="00AF347B">
        <w:rPr>
          <w:rFonts w:ascii="Verdana" w:eastAsia="Times New Roman" w:hAnsi="Verdana" w:cs="Times New Roman"/>
          <w:sz w:val="20"/>
          <w:szCs w:val="24"/>
        </w:rPr>
        <w:tab/>
      </w:r>
      <w:r w:rsidRPr="00AF347B">
        <w:rPr>
          <w:rFonts w:ascii="Verdana" w:eastAsia="Times New Roman" w:hAnsi="Verdana" w:cs="Times New Roman"/>
          <w:sz w:val="20"/>
          <w:szCs w:val="24"/>
        </w:rPr>
        <w:tab/>
      </w:r>
      <w:smartTag w:uri="urn:schemas-microsoft-com:office:smarttags" w:element="metricconverter">
        <w:smartTagPr>
          <w:attr w:name="ProductID" w:val="13,125 g"/>
        </w:smartTagPr>
        <w:r w:rsidRPr="00AF347B">
          <w:rPr>
            <w:rFonts w:ascii="Verdana" w:eastAsia="Times New Roman" w:hAnsi="Verdana" w:cs="Times New Roman"/>
            <w:sz w:val="20"/>
            <w:szCs w:val="24"/>
          </w:rPr>
          <w:t>13,125 g</w:t>
        </w:r>
      </w:smartTag>
    </w:p>
    <w:p w14:paraId="282378A1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 w:rsidRPr="00AF347B">
        <w:rPr>
          <w:rFonts w:ascii="Verdana" w:eastAsia="Times New Roman" w:hAnsi="Verdana" w:cs="Times New Roman"/>
          <w:sz w:val="20"/>
          <w:szCs w:val="24"/>
        </w:rPr>
        <w:t>Cloreto de Sódio</w:t>
      </w:r>
      <w:r w:rsidRPr="00AF347B">
        <w:rPr>
          <w:rFonts w:ascii="Verdana" w:eastAsia="Times New Roman" w:hAnsi="Verdana" w:cs="Times New Roman"/>
          <w:sz w:val="20"/>
          <w:szCs w:val="24"/>
        </w:rPr>
        <w:tab/>
      </w:r>
      <w:r w:rsidRPr="00AF347B">
        <w:rPr>
          <w:rFonts w:ascii="Verdana" w:eastAsia="Times New Roman" w:hAnsi="Verdana" w:cs="Times New Roman"/>
          <w:sz w:val="20"/>
          <w:szCs w:val="24"/>
        </w:rPr>
        <w:tab/>
      </w:r>
      <w:smartTag w:uri="urn:schemas-microsoft-com:office:smarttags" w:element="metricconverter">
        <w:smartTagPr>
          <w:attr w:name="ProductID" w:val="0,3507 g"/>
        </w:smartTagPr>
        <w:r w:rsidRPr="00AF347B">
          <w:rPr>
            <w:rFonts w:ascii="Verdana" w:eastAsia="Times New Roman" w:hAnsi="Verdana" w:cs="Times New Roman"/>
            <w:sz w:val="20"/>
            <w:szCs w:val="24"/>
          </w:rPr>
          <w:t>0,3507 g</w:t>
        </w:r>
      </w:smartTag>
    </w:p>
    <w:p w14:paraId="73D77268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 w:rsidRPr="00AF347B">
        <w:rPr>
          <w:rFonts w:ascii="Verdana" w:eastAsia="Times New Roman" w:hAnsi="Verdana" w:cs="Times New Roman"/>
          <w:sz w:val="20"/>
          <w:szCs w:val="24"/>
        </w:rPr>
        <w:t xml:space="preserve">Bicarbonato de Sódio </w:t>
      </w:r>
      <w:r w:rsidRPr="00AF347B">
        <w:rPr>
          <w:rFonts w:ascii="Verdana" w:eastAsia="Times New Roman" w:hAnsi="Verdana" w:cs="Times New Roman"/>
          <w:sz w:val="20"/>
          <w:szCs w:val="24"/>
        </w:rPr>
        <w:tab/>
      </w:r>
      <w:smartTag w:uri="urn:schemas-microsoft-com:office:smarttags" w:element="metricconverter">
        <w:smartTagPr>
          <w:attr w:name="ProductID" w:val="0,1785 g"/>
        </w:smartTagPr>
        <w:r w:rsidRPr="00AF347B">
          <w:rPr>
            <w:rFonts w:ascii="Verdana" w:eastAsia="Times New Roman" w:hAnsi="Verdana" w:cs="Times New Roman"/>
            <w:sz w:val="20"/>
            <w:szCs w:val="24"/>
          </w:rPr>
          <w:t>0,1785 g</w:t>
        </w:r>
      </w:smartTag>
    </w:p>
    <w:p w14:paraId="2B4CE948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 w:rsidRPr="00AF347B">
        <w:rPr>
          <w:rFonts w:ascii="Verdana" w:eastAsia="Times New Roman" w:hAnsi="Verdana" w:cs="Times New Roman"/>
          <w:sz w:val="20"/>
          <w:szCs w:val="24"/>
        </w:rPr>
        <w:t>Cloreto de Potássio</w:t>
      </w:r>
      <w:r w:rsidRPr="00AF347B">
        <w:rPr>
          <w:rFonts w:ascii="Verdana" w:eastAsia="Times New Roman" w:hAnsi="Verdana" w:cs="Times New Roman"/>
          <w:sz w:val="20"/>
          <w:szCs w:val="24"/>
        </w:rPr>
        <w:tab/>
      </w:r>
      <w:r w:rsidRPr="00AF347B">
        <w:rPr>
          <w:rFonts w:ascii="Verdana" w:eastAsia="Times New Roman" w:hAnsi="Verdana" w:cs="Times New Roman"/>
          <w:sz w:val="20"/>
          <w:szCs w:val="24"/>
        </w:rPr>
        <w:tab/>
      </w:r>
      <w:smartTag w:uri="urn:schemas-microsoft-com:office:smarttags" w:element="metricconverter">
        <w:smartTagPr>
          <w:attr w:name="ProductID" w:val="0,0466 g"/>
        </w:smartTagPr>
        <w:r w:rsidRPr="00AF347B">
          <w:rPr>
            <w:rFonts w:ascii="Verdana" w:eastAsia="Times New Roman" w:hAnsi="Verdana" w:cs="Times New Roman"/>
            <w:sz w:val="20"/>
            <w:szCs w:val="24"/>
          </w:rPr>
          <w:t>0,0466 g</w:t>
        </w:r>
      </w:smartTag>
    </w:p>
    <w:p w14:paraId="409E3F68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11F340DE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 w:rsidRPr="00AF347B">
        <w:rPr>
          <w:rFonts w:ascii="Verdana" w:eastAsia="Times New Roman" w:hAnsi="Verdana" w:cs="Times New Roman"/>
          <w:sz w:val="20"/>
          <w:szCs w:val="24"/>
        </w:rPr>
        <w:t>O conteúdo de eletrólitos por saqueta em 125 ml de solução é o seguinte:</w:t>
      </w:r>
    </w:p>
    <w:p w14:paraId="3C0C2E16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3A50C6A1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 w:rsidRPr="00AF347B">
        <w:rPr>
          <w:rFonts w:ascii="Verdana" w:eastAsia="Times New Roman" w:hAnsi="Verdana" w:cs="Times New Roman"/>
          <w:sz w:val="20"/>
          <w:szCs w:val="24"/>
        </w:rPr>
        <w:t>Sódio</w:t>
      </w:r>
      <w:r w:rsidRPr="00AF347B">
        <w:rPr>
          <w:rFonts w:ascii="Verdana" w:eastAsia="Times New Roman" w:hAnsi="Verdana" w:cs="Times New Roman"/>
          <w:sz w:val="20"/>
          <w:szCs w:val="24"/>
        </w:rPr>
        <w:tab/>
      </w:r>
      <w:r w:rsidRPr="00AF347B">
        <w:rPr>
          <w:rFonts w:ascii="Verdana" w:eastAsia="Times New Roman" w:hAnsi="Verdana" w:cs="Times New Roman"/>
          <w:sz w:val="20"/>
          <w:szCs w:val="24"/>
        </w:rPr>
        <w:tab/>
      </w:r>
      <w:r w:rsidRPr="00AF347B">
        <w:rPr>
          <w:rFonts w:ascii="Verdana" w:eastAsia="Times New Roman" w:hAnsi="Verdana" w:cs="Times New Roman"/>
          <w:sz w:val="20"/>
          <w:szCs w:val="24"/>
        </w:rPr>
        <w:tab/>
        <w:t>65 mmol/l</w:t>
      </w:r>
    </w:p>
    <w:p w14:paraId="47E0D0A6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 w:rsidRPr="00AF347B">
        <w:rPr>
          <w:rFonts w:ascii="Verdana" w:eastAsia="Times New Roman" w:hAnsi="Verdana" w:cs="Times New Roman"/>
          <w:sz w:val="20"/>
          <w:szCs w:val="24"/>
        </w:rPr>
        <w:t>Cloreto</w:t>
      </w:r>
      <w:r w:rsidRPr="00AF347B">
        <w:rPr>
          <w:rFonts w:ascii="Verdana" w:eastAsia="Times New Roman" w:hAnsi="Verdana" w:cs="Times New Roman"/>
          <w:sz w:val="20"/>
          <w:szCs w:val="24"/>
        </w:rPr>
        <w:tab/>
      </w:r>
      <w:r w:rsidRPr="00AF347B">
        <w:rPr>
          <w:rFonts w:ascii="Verdana" w:eastAsia="Times New Roman" w:hAnsi="Verdana" w:cs="Times New Roman"/>
          <w:sz w:val="20"/>
          <w:szCs w:val="24"/>
        </w:rPr>
        <w:tab/>
        <w:t>53 mmol/l</w:t>
      </w:r>
    </w:p>
    <w:p w14:paraId="16B1590F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  <w:lang w:val="it-IT"/>
        </w:rPr>
      </w:pPr>
      <w:r w:rsidRPr="00AF347B">
        <w:rPr>
          <w:rFonts w:ascii="Verdana" w:eastAsia="Times New Roman" w:hAnsi="Verdana" w:cs="Times New Roman"/>
          <w:sz w:val="20"/>
          <w:szCs w:val="24"/>
          <w:lang w:val="it-IT"/>
        </w:rPr>
        <w:t>Potássio</w:t>
      </w:r>
      <w:r w:rsidRPr="00AF347B">
        <w:rPr>
          <w:rFonts w:ascii="Verdana" w:eastAsia="Times New Roman" w:hAnsi="Verdana" w:cs="Times New Roman"/>
          <w:sz w:val="20"/>
          <w:szCs w:val="24"/>
          <w:lang w:val="it-IT"/>
        </w:rPr>
        <w:tab/>
      </w:r>
      <w:r w:rsidRPr="00AF347B">
        <w:rPr>
          <w:rFonts w:ascii="Verdana" w:eastAsia="Times New Roman" w:hAnsi="Verdana" w:cs="Times New Roman"/>
          <w:sz w:val="20"/>
          <w:szCs w:val="24"/>
          <w:lang w:val="it-IT"/>
        </w:rPr>
        <w:tab/>
        <w:t>5,4 mmol/l</w:t>
      </w:r>
    </w:p>
    <w:p w14:paraId="2CB24561" w14:textId="77777777" w:rsidR="00AF347B" w:rsidRPr="003C6A8E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  <w:lang w:val="it-IT"/>
        </w:rPr>
      </w:pPr>
      <w:r w:rsidRPr="003C6A8E">
        <w:rPr>
          <w:rFonts w:ascii="Verdana" w:eastAsia="Times New Roman" w:hAnsi="Verdana" w:cs="Times New Roman"/>
          <w:sz w:val="20"/>
          <w:szCs w:val="24"/>
          <w:lang w:val="it-IT"/>
        </w:rPr>
        <w:t>Bicarbonato</w:t>
      </w:r>
      <w:r w:rsidRPr="003C6A8E">
        <w:rPr>
          <w:rFonts w:ascii="Verdana" w:eastAsia="Times New Roman" w:hAnsi="Verdana" w:cs="Times New Roman"/>
          <w:sz w:val="20"/>
          <w:szCs w:val="24"/>
          <w:lang w:val="it-IT"/>
        </w:rPr>
        <w:tab/>
      </w:r>
      <w:r w:rsidRPr="003C6A8E">
        <w:rPr>
          <w:rFonts w:ascii="Verdana" w:eastAsia="Times New Roman" w:hAnsi="Verdana" w:cs="Times New Roman"/>
          <w:sz w:val="20"/>
          <w:szCs w:val="24"/>
          <w:lang w:val="it-IT"/>
        </w:rPr>
        <w:tab/>
        <w:t>17  mmol/l</w:t>
      </w:r>
    </w:p>
    <w:p w14:paraId="4E1C652B" w14:textId="77777777" w:rsidR="00AF347B" w:rsidRPr="003C6A8E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  <w:lang w:val="it-IT"/>
        </w:rPr>
      </w:pPr>
    </w:p>
    <w:p w14:paraId="3261EEAD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 w:rsidRPr="00AF347B">
        <w:rPr>
          <w:rFonts w:ascii="Verdana" w:eastAsia="Times New Roman" w:hAnsi="Verdana" w:cs="Times New Roman"/>
          <w:sz w:val="20"/>
          <w:szCs w:val="24"/>
        </w:rPr>
        <w:t>Lista completa de excipientes, ver secção 6.1.</w:t>
      </w:r>
    </w:p>
    <w:p w14:paraId="720E2455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2394C7A4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1DBBB4AC" w14:textId="31ECAE70" w:rsidR="00AF347B" w:rsidRPr="00763BFC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4"/>
        </w:rPr>
      </w:pPr>
      <w:r w:rsidRPr="00763BFC">
        <w:rPr>
          <w:rFonts w:ascii="Verdana" w:eastAsia="Times New Roman" w:hAnsi="Verdana" w:cs="Times New Roman"/>
          <w:b/>
          <w:sz w:val="20"/>
          <w:szCs w:val="24"/>
        </w:rPr>
        <w:t>FORMA FARMACÊUTICA</w:t>
      </w:r>
    </w:p>
    <w:p w14:paraId="450EF902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6A73A95A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 w:rsidRPr="00AF347B">
        <w:rPr>
          <w:rFonts w:ascii="Verdana" w:eastAsia="Times New Roman" w:hAnsi="Verdana" w:cs="Times New Roman"/>
          <w:sz w:val="20"/>
          <w:szCs w:val="24"/>
        </w:rPr>
        <w:t>Pó para solução oral. Pó branco solto.</w:t>
      </w:r>
    </w:p>
    <w:p w14:paraId="7234C38D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6D3EDA9A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55F8D6CA" w14:textId="79BE5D38" w:rsidR="00AF347B" w:rsidRPr="00763BFC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4"/>
        </w:rPr>
      </w:pPr>
      <w:r w:rsidRPr="00763BFC">
        <w:rPr>
          <w:rFonts w:ascii="Verdana" w:eastAsia="Times New Roman" w:hAnsi="Verdana" w:cs="Times New Roman"/>
          <w:b/>
          <w:sz w:val="20"/>
          <w:szCs w:val="24"/>
        </w:rPr>
        <w:t>Indicações terapêuticas</w:t>
      </w:r>
    </w:p>
    <w:p w14:paraId="4654DFEB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411F20B9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 w:rsidRPr="00AF347B">
        <w:rPr>
          <w:rFonts w:ascii="Verdana" w:eastAsia="Times New Roman" w:hAnsi="Verdana" w:cs="Times New Roman"/>
          <w:sz w:val="20"/>
          <w:szCs w:val="24"/>
        </w:rPr>
        <w:t>Para o tratamento da obstipação crónica.</w:t>
      </w:r>
    </w:p>
    <w:p w14:paraId="623737B1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 w:rsidRPr="00AF347B">
        <w:rPr>
          <w:rFonts w:ascii="Verdana" w:eastAsia="Times New Roman" w:hAnsi="Verdana" w:cs="Times New Roman"/>
          <w:sz w:val="20"/>
          <w:szCs w:val="24"/>
        </w:rPr>
        <w:t>Movicol é também eficaz na resolução da impactação fecal, definida como obstipação refractária com carga fecal do reto e/ou cólon.</w:t>
      </w:r>
    </w:p>
    <w:p w14:paraId="7B605D02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3ADD2284" w14:textId="16EE0CA6" w:rsidR="00AF347B" w:rsidRPr="00763BFC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4"/>
        </w:rPr>
      </w:pPr>
      <w:r w:rsidRPr="00763BFC">
        <w:rPr>
          <w:rFonts w:ascii="Verdana" w:eastAsia="Times New Roman" w:hAnsi="Verdana" w:cs="Times New Roman"/>
          <w:b/>
          <w:sz w:val="20"/>
          <w:szCs w:val="24"/>
        </w:rPr>
        <w:t>Posologia e modo de administração</w:t>
      </w:r>
    </w:p>
    <w:p w14:paraId="5082077B" w14:textId="77777777" w:rsidR="00AF347B" w:rsidRPr="00B7707C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bCs/>
          <w:sz w:val="20"/>
          <w:szCs w:val="24"/>
        </w:rPr>
      </w:pPr>
    </w:p>
    <w:p w14:paraId="2765D83F" w14:textId="77777777" w:rsidR="00AF347B" w:rsidRPr="00763BFC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4"/>
        </w:rPr>
      </w:pPr>
      <w:r w:rsidRPr="00763BFC">
        <w:rPr>
          <w:rFonts w:ascii="Verdana" w:eastAsia="Times New Roman" w:hAnsi="Verdana" w:cs="Times New Roman"/>
          <w:b/>
          <w:sz w:val="20"/>
          <w:szCs w:val="24"/>
        </w:rPr>
        <w:t>Posologia</w:t>
      </w:r>
    </w:p>
    <w:p w14:paraId="0925A535" w14:textId="77777777" w:rsidR="00AF347B" w:rsidRPr="00763BFC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4"/>
        </w:rPr>
      </w:pPr>
    </w:p>
    <w:p w14:paraId="043F9E33" w14:textId="77777777" w:rsidR="00AF347B" w:rsidRPr="00763BFC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4"/>
        </w:rPr>
      </w:pPr>
      <w:r w:rsidRPr="00763BFC">
        <w:rPr>
          <w:rFonts w:ascii="Verdana" w:eastAsia="Times New Roman" w:hAnsi="Verdana" w:cs="Times New Roman"/>
          <w:b/>
          <w:sz w:val="20"/>
          <w:szCs w:val="24"/>
        </w:rPr>
        <w:t>Obstipação crónica:</w:t>
      </w:r>
    </w:p>
    <w:p w14:paraId="17A4C9FF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27E5E958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 w:rsidRPr="00AF347B">
        <w:rPr>
          <w:rFonts w:ascii="Verdana" w:eastAsia="Times New Roman" w:hAnsi="Verdana" w:cs="Times New Roman"/>
          <w:sz w:val="20"/>
          <w:szCs w:val="24"/>
        </w:rPr>
        <w:t>O período de tratamento da obstipação com Movicol não excede, normalmente, as duas semanas, embora possa ser repetido, se necessário.</w:t>
      </w:r>
    </w:p>
    <w:p w14:paraId="3A35A72A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375ADA10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 w:rsidRPr="00AF347B">
        <w:rPr>
          <w:rFonts w:ascii="Verdana" w:eastAsia="Times New Roman" w:hAnsi="Verdana" w:cs="Times New Roman"/>
          <w:sz w:val="20"/>
          <w:szCs w:val="24"/>
        </w:rPr>
        <w:t>Tal como para todos os laxantes, não se recomenda o seu uso prolongado. Um uso prolongado pode ser necessário em doentes com obstipação crónica grave ou refractária, secundária à esclerose múltipla ou à doença de Parkinson, ou provocada por uma medicação regular que apresenta a obstipação como efeito secundário, em particular os opiáceos e os antimuscarínicos.</w:t>
      </w:r>
    </w:p>
    <w:p w14:paraId="336C6F8E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620068F6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 w:rsidRPr="00B7707C">
        <w:rPr>
          <w:rFonts w:ascii="Verdana" w:eastAsia="Times New Roman" w:hAnsi="Verdana" w:cs="Times New Roman"/>
          <w:bCs/>
          <w:sz w:val="20"/>
          <w:szCs w:val="24"/>
        </w:rPr>
        <w:t>Adultos, adolescentes e idosos:</w:t>
      </w:r>
      <w:r w:rsidRPr="00AF347B">
        <w:rPr>
          <w:rFonts w:ascii="Verdana" w:eastAsia="Times New Roman" w:hAnsi="Verdana" w:cs="Times New Roman"/>
          <w:sz w:val="20"/>
          <w:szCs w:val="24"/>
        </w:rPr>
        <w:t xml:space="preserve"> 1-3 saquetas diárias em doses divididas, de acordo com a resposta individual.</w:t>
      </w:r>
    </w:p>
    <w:p w14:paraId="44C77F0E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 w:rsidRPr="00AF347B">
        <w:rPr>
          <w:rFonts w:ascii="Verdana" w:eastAsia="Times New Roman" w:hAnsi="Verdana" w:cs="Times New Roman"/>
          <w:sz w:val="20"/>
          <w:szCs w:val="24"/>
        </w:rPr>
        <w:t>Para um uso prolongado, a dose pode ser ajustada diminuindo-a para 1 ou 2 saquetas por dia.</w:t>
      </w:r>
    </w:p>
    <w:p w14:paraId="3462262F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345FBAB5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 w:rsidRPr="00B7707C">
        <w:rPr>
          <w:rFonts w:ascii="Verdana" w:eastAsia="Times New Roman" w:hAnsi="Verdana" w:cs="Times New Roman"/>
          <w:bCs/>
          <w:sz w:val="20"/>
          <w:szCs w:val="24"/>
        </w:rPr>
        <w:t>Crianças com idade inferior a 12 anos:</w:t>
      </w:r>
      <w:r w:rsidRPr="00AF347B">
        <w:rPr>
          <w:rFonts w:ascii="Verdana" w:eastAsia="Times New Roman" w:hAnsi="Verdana" w:cs="Times New Roman"/>
          <w:sz w:val="20"/>
          <w:szCs w:val="24"/>
        </w:rPr>
        <w:t xml:space="preserve"> Não recomendado. Estão disponíveis outras apresentações de Movicol para uso pediátrico.</w:t>
      </w:r>
    </w:p>
    <w:p w14:paraId="578A7F3B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773FCD3A" w14:textId="77777777" w:rsidR="00AF347B" w:rsidRPr="00763BFC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4"/>
        </w:rPr>
      </w:pPr>
      <w:r w:rsidRPr="00763BFC">
        <w:rPr>
          <w:rFonts w:ascii="Verdana" w:eastAsia="Times New Roman" w:hAnsi="Verdana" w:cs="Times New Roman"/>
          <w:b/>
          <w:sz w:val="20"/>
          <w:szCs w:val="24"/>
        </w:rPr>
        <w:t>Impactação fecal:</w:t>
      </w:r>
    </w:p>
    <w:p w14:paraId="65B11F42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5709041D" w14:textId="72D49FEA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 w:rsidRPr="00AF347B">
        <w:rPr>
          <w:rFonts w:ascii="Verdana" w:eastAsia="Times New Roman" w:hAnsi="Verdana" w:cs="Times New Roman"/>
          <w:sz w:val="20"/>
          <w:szCs w:val="24"/>
        </w:rPr>
        <w:t>O período de tratamento da impactação fecal, com M</w:t>
      </w:r>
      <w:r w:rsidR="00AE3517">
        <w:rPr>
          <w:rFonts w:ascii="Verdana" w:eastAsia="Times New Roman" w:hAnsi="Verdana" w:cs="Times New Roman"/>
          <w:sz w:val="20"/>
          <w:szCs w:val="24"/>
        </w:rPr>
        <w:t>OVICOL</w:t>
      </w:r>
      <w:r w:rsidRPr="00AF347B">
        <w:rPr>
          <w:rFonts w:ascii="Verdana" w:eastAsia="Times New Roman" w:hAnsi="Verdana" w:cs="Times New Roman"/>
          <w:sz w:val="20"/>
          <w:szCs w:val="24"/>
        </w:rPr>
        <w:t>, não excede normalmente os 3 dias.</w:t>
      </w:r>
    </w:p>
    <w:p w14:paraId="0FEF9DE9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7689B128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 w:rsidRPr="00763BFC">
        <w:rPr>
          <w:rFonts w:ascii="Verdana" w:eastAsia="Times New Roman" w:hAnsi="Verdana" w:cs="Times New Roman"/>
          <w:bCs/>
          <w:sz w:val="20"/>
          <w:szCs w:val="24"/>
          <w:u w:val="single"/>
        </w:rPr>
        <w:t>Adultos, adolescentes e idosos</w:t>
      </w:r>
      <w:r w:rsidRPr="00AF347B">
        <w:rPr>
          <w:rFonts w:ascii="Verdana" w:eastAsia="Times New Roman" w:hAnsi="Verdana" w:cs="Times New Roman"/>
          <w:sz w:val="20"/>
          <w:szCs w:val="24"/>
        </w:rPr>
        <w:t>: 8 saquetas por dia, as quais devem ser consumidas no prazo de 6 horas.</w:t>
      </w:r>
    </w:p>
    <w:p w14:paraId="1B5E509B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0C471491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 w:rsidRPr="00763BFC">
        <w:rPr>
          <w:rFonts w:ascii="Verdana" w:eastAsia="Times New Roman" w:hAnsi="Verdana" w:cs="Times New Roman"/>
          <w:bCs/>
          <w:sz w:val="20"/>
          <w:szCs w:val="24"/>
          <w:u w:val="single"/>
        </w:rPr>
        <w:t>Crianças com idade inferior a 12 anos:</w:t>
      </w:r>
      <w:r w:rsidRPr="00AF347B">
        <w:rPr>
          <w:rFonts w:ascii="Verdana" w:eastAsia="Times New Roman" w:hAnsi="Verdana" w:cs="Times New Roman"/>
          <w:sz w:val="20"/>
          <w:szCs w:val="24"/>
        </w:rPr>
        <w:t xml:space="preserve"> Não recomendado. Estão disponíveis outras apresentações de Movicol para uso pediátrico. </w:t>
      </w:r>
    </w:p>
    <w:p w14:paraId="1DECB261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0B051EF9" w14:textId="3F0900FE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 w:rsidRPr="009D1469">
        <w:rPr>
          <w:rFonts w:ascii="Verdana" w:eastAsia="Times New Roman" w:hAnsi="Verdana" w:cs="Times New Roman"/>
          <w:bCs/>
          <w:sz w:val="20"/>
          <w:szCs w:val="24"/>
          <w:u w:val="single"/>
        </w:rPr>
        <w:t>Doentes com compromisso da função cardiovascular</w:t>
      </w:r>
      <w:r w:rsidR="009D1469" w:rsidRPr="009D1469">
        <w:rPr>
          <w:rFonts w:ascii="Verdana" w:eastAsia="Times New Roman" w:hAnsi="Verdana" w:cs="Times New Roman"/>
          <w:bCs/>
          <w:sz w:val="20"/>
          <w:szCs w:val="24"/>
          <w:u w:val="single"/>
        </w:rPr>
        <w:t>:</w:t>
      </w:r>
      <w:r w:rsidR="009D1469">
        <w:rPr>
          <w:rFonts w:ascii="Verdana" w:eastAsia="Times New Roman" w:hAnsi="Verdana" w:cs="Times New Roman"/>
          <w:bCs/>
          <w:sz w:val="20"/>
          <w:szCs w:val="24"/>
        </w:rPr>
        <w:t xml:space="preserve"> </w:t>
      </w:r>
      <w:r w:rsidRPr="00AF347B">
        <w:rPr>
          <w:rFonts w:ascii="Verdana" w:eastAsia="Times New Roman" w:hAnsi="Verdana" w:cs="Times New Roman"/>
          <w:sz w:val="20"/>
          <w:szCs w:val="24"/>
        </w:rPr>
        <w:t>No tratamento da impactação fecal a dose deve ser dividida de modo a não tomar mais de duas saquetas em cada hora.</w:t>
      </w:r>
    </w:p>
    <w:p w14:paraId="5E81F7A5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3B064FD4" w14:textId="77777777" w:rsidR="00AF347B" w:rsidRPr="00763BFC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bCs/>
          <w:sz w:val="20"/>
          <w:szCs w:val="24"/>
          <w:u w:val="single"/>
        </w:rPr>
      </w:pPr>
      <w:r w:rsidRPr="00763BFC">
        <w:rPr>
          <w:rFonts w:ascii="Verdana" w:eastAsia="Times New Roman" w:hAnsi="Verdana" w:cs="Times New Roman"/>
          <w:bCs/>
          <w:sz w:val="20"/>
          <w:szCs w:val="24"/>
          <w:u w:val="single"/>
        </w:rPr>
        <w:t>Doentes com insuficiência renal</w:t>
      </w:r>
    </w:p>
    <w:p w14:paraId="7C315E84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0D03DA61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 w:rsidRPr="00AF347B">
        <w:rPr>
          <w:rFonts w:ascii="Verdana" w:eastAsia="Times New Roman" w:hAnsi="Verdana" w:cs="Times New Roman"/>
          <w:sz w:val="20"/>
          <w:szCs w:val="24"/>
        </w:rPr>
        <w:t>Não é necessário alterar a posologia para o tratamento da obstipação ou da impactação fecal.</w:t>
      </w:r>
    </w:p>
    <w:p w14:paraId="67DD686B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33FBBF04" w14:textId="77777777" w:rsidR="00AF347B" w:rsidRPr="00763BFC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4"/>
        </w:rPr>
      </w:pPr>
      <w:r w:rsidRPr="00763BFC">
        <w:rPr>
          <w:rFonts w:ascii="Verdana" w:eastAsia="Times New Roman" w:hAnsi="Verdana" w:cs="Times New Roman"/>
          <w:b/>
          <w:sz w:val="20"/>
          <w:szCs w:val="24"/>
        </w:rPr>
        <w:t>Modo de administração</w:t>
      </w:r>
    </w:p>
    <w:p w14:paraId="5BDBD6BE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1BCA0C25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 w:rsidRPr="00AF347B">
        <w:rPr>
          <w:rFonts w:ascii="Verdana" w:eastAsia="Times New Roman" w:hAnsi="Verdana" w:cs="Times New Roman"/>
          <w:sz w:val="20"/>
          <w:szCs w:val="24"/>
        </w:rPr>
        <w:t>Cada saqueta deve ser dissolvida em 125 ml de água.</w:t>
      </w:r>
    </w:p>
    <w:p w14:paraId="3140A81B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187DE449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 w:rsidRPr="00AF347B">
        <w:rPr>
          <w:rFonts w:ascii="Verdana" w:eastAsia="Times New Roman" w:hAnsi="Verdana" w:cs="Times New Roman"/>
          <w:sz w:val="20"/>
          <w:szCs w:val="24"/>
        </w:rPr>
        <w:t xml:space="preserve">Para utilização em caso de impactação fecal  podem ser dissolvidas </w:t>
      </w:r>
      <w:r w:rsidR="00701063">
        <w:rPr>
          <w:rFonts w:ascii="Verdana" w:eastAsia="Times New Roman" w:hAnsi="Verdana" w:cs="Times New Roman"/>
          <w:sz w:val="20"/>
          <w:szCs w:val="24"/>
        </w:rPr>
        <w:t xml:space="preserve">8 saquetas </w:t>
      </w:r>
      <w:r w:rsidRPr="00AF347B">
        <w:rPr>
          <w:rFonts w:ascii="Verdana" w:eastAsia="Times New Roman" w:hAnsi="Verdana" w:cs="Times New Roman"/>
          <w:sz w:val="20"/>
          <w:szCs w:val="24"/>
        </w:rPr>
        <w:t xml:space="preserve">em </w:t>
      </w:r>
      <w:smartTag w:uri="urn:schemas-microsoft-com:office:smarttags" w:element="metricconverter">
        <w:smartTagPr>
          <w:attr w:name="ProductID" w:val="1 litro"/>
        </w:smartTagPr>
        <w:r w:rsidRPr="00AF347B">
          <w:rPr>
            <w:rFonts w:ascii="Verdana" w:eastAsia="Times New Roman" w:hAnsi="Verdana" w:cs="Times New Roman"/>
            <w:sz w:val="20"/>
            <w:szCs w:val="24"/>
          </w:rPr>
          <w:t>1 litro</w:t>
        </w:r>
      </w:smartTag>
      <w:r w:rsidRPr="00AF347B">
        <w:rPr>
          <w:rFonts w:ascii="Verdana" w:eastAsia="Times New Roman" w:hAnsi="Verdana" w:cs="Times New Roman"/>
          <w:sz w:val="20"/>
          <w:szCs w:val="24"/>
        </w:rPr>
        <w:t xml:space="preserve"> de água. </w:t>
      </w:r>
    </w:p>
    <w:p w14:paraId="30AB7B25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3D9FFDE1" w14:textId="05B9CD80" w:rsidR="00AF347B" w:rsidRPr="00763BFC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4"/>
        </w:rPr>
      </w:pPr>
      <w:r w:rsidRPr="00763BFC">
        <w:rPr>
          <w:rFonts w:ascii="Verdana" w:eastAsia="Times New Roman" w:hAnsi="Verdana" w:cs="Times New Roman"/>
          <w:b/>
          <w:sz w:val="20"/>
          <w:szCs w:val="24"/>
        </w:rPr>
        <w:t>Contraindicações</w:t>
      </w:r>
    </w:p>
    <w:p w14:paraId="3DDB667F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24F7F419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 w:rsidRPr="00AF347B">
        <w:rPr>
          <w:rFonts w:ascii="Verdana" w:eastAsia="Times New Roman" w:hAnsi="Verdana" w:cs="Times New Roman"/>
          <w:sz w:val="20"/>
          <w:szCs w:val="24"/>
        </w:rPr>
        <w:t>Perfuração ou obstrução intestinal, devidas a perturbações estruturais ou funcionais da parede intestinal, íleo e situações inflamatórias graves do trato intestinal, como doença de Crohn, colite ulcerosa e megacólon tóxico.</w:t>
      </w:r>
    </w:p>
    <w:p w14:paraId="575C3461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07524A27" w14:textId="5DA1C8F5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 w:rsidRPr="00AF347B">
        <w:rPr>
          <w:rFonts w:ascii="Verdana" w:eastAsia="Times New Roman" w:hAnsi="Verdana" w:cs="Times New Roman"/>
          <w:sz w:val="20"/>
          <w:szCs w:val="24"/>
        </w:rPr>
        <w:t xml:space="preserve">Hipersensibilidade às substâncias ativas ou a qualquer um dos excipientes mencionados na </w:t>
      </w:r>
      <w:r w:rsidR="00C521B2">
        <w:rPr>
          <w:rFonts w:ascii="Verdana" w:eastAsia="Times New Roman" w:hAnsi="Verdana" w:cs="Times New Roman"/>
          <w:sz w:val="20"/>
          <w:szCs w:val="24"/>
        </w:rPr>
        <w:t xml:space="preserve">secção </w:t>
      </w:r>
      <w:r w:rsidR="00763BFC">
        <w:rPr>
          <w:rFonts w:ascii="Verdana" w:eastAsia="Times New Roman" w:hAnsi="Verdana" w:cs="Times New Roman"/>
          <w:sz w:val="20"/>
          <w:szCs w:val="24"/>
        </w:rPr>
        <w:t>composição</w:t>
      </w:r>
      <w:r w:rsidRPr="00AF347B">
        <w:rPr>
          <w:rFonts w:ascii="Verdana" w:eastAsia="Times New Roman" w:hAnsi="Verdana" w:cs="Times New Roman"/>
          <w:sz w:val="20"/>
          <w:szCs w:val="24"/>
        </w:rPr>
        <w:t>.</w:t>
      </w:r>
    </w:p>
    <w:p w14:paraId="7AF376A2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691B1518" w14:textId="5152A1EE" w:rsidR="00AF347B" w:rsidRPr="00763BFC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4"/>
        </w:rPr>
      </w:pPr>
      <w:r w:rsidRPr="00763BFC">
        <w:rPr>
          <w:rFonts w:ascii="Verdana" w:eastAsia="Times New Roman" w:hAnsi="Verdana" w:cs="Times New Roman"/>
          <w:b/>
          <w:sz w:val="20"/>
          <w:szCs w:val="24"/>
        </w:rPr>
        <w:t>Advertências e precauções especiais de utilização</w:t>
      </w:r>
    </w:p>
    <w:p w14:paraId="4F051774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11619FE6" w14:textId="1DD6F5AA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 w:rsidRPr="00AF347B">
        <w:rPr>
          <w:rFonts w:ascii="Verdana" w:eastAsia="Times New Roman" w:hAnsi="Verdana" w:cs="Times New Roman"/>
          <w:sz w:val="20"/>
          <w:szCs w:val="24"/>
        </w:rPr>
        <w:t>O conteúdo fluido de M</w:t>
      </w:r>
      <w:r w:rsidR="00AE3517">
        <w:rPr>
          <w:rFonts w:ascii="Verdana" w:eastAsia="Times New Roman" w:hAnsi="Verdana" w:cs="Times New Roman"/>
          <w:sz w:val="20"/>
          <w:szCs w:val="24"/>
        </w:rPr>
        <w:t>OVICOL</w:t>
      </w:r>
      <w:r w:rsidRPr="00AF347B">
        <w:rPr>
          <w:rFonts w:ascii="Verdana" w:eastAsia="Times New Roman" w:hAnsi="Verdana" w:cs="Times New Roman"/>
          <w:sz w:val="20"/>
          <w:szCs w:val="24"/>
        </w:rPr>
        <w:t xml:space="preserve"> quando reconstituído com água não substitui</w:t>
      </w:r>
      <w:r w:rsidRPr="00AF347B">
        <w:rPr>
          <w:rFonts w:ascii="Verdana" w:eastAsia="Times New Roman" w:hAnsi="Verdana" w:cs="Times New Roman"/>
          <w:sz w:val="20"/>
          <w:szCs w:val="24"/>
        </w:rPr>
        <w:br/>
        <w:t>a ingestão regular de líquidos e a adequada ingestão de líquidos deve ser mantida.</w:t>
      </w:r>
    </w:p>
    <w:p w14:paraId="693FFD77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 w:rsidRPr="00AF347B">
        <w:rPr>
          <w:rFonts w:ascii="Verdana" w:eastAsia="Times New Roman" w:hAnsi="Verdana" w:cs="Times New Roman"/>
          <w:sz w:val="20"/>
          <w:szCs w:val="24"/>
        </w:rPr>
        <w:t>O diagnóstico de carga fecal/impactação do reto deverá ser confirmado por exame físico ou radiológico do abdómen e do reto.</w:t>
      </w:r>
    </w:p>
    <w:p w14:paraId="56EB9FF0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28638EA2" w14:textId="6450D035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 w:rsidRPr="00AF347B">
        <w:rPr>
          <w:rFonts w:ascii="Verdana" w:eastAsia="Times New Roman" w:hAnsi="Verdana" w:cs="Times New Roman"/>
          <w:sz w:val="20"/>
          <w:szCs w:val="24"/>
        </w:rPr>
        <w:lastRenderedPageBreak/>
        <w:t>Podem ocorrer reações adversas ligeiras, conforme indicado na secção 4.8. Se os doentes desenvolverem quaisquer sintomas que indiquem deslocações de líquidos/eletrólitos (p. ex., edema, dificuldades respiratórias, fadiga aumentada, desidratação, insuficiência cardíaca), deve interromper</w:t>
      </w:r>
      <w:r w:rsidRPr="00AF347B">
        <w:rPr>
          <w:rFonts w:ascii="Verdana" w:eastAsia="Times New Roman" w:hAnsi="Verdana" w:cs="Times New Roman"/>
          <w:sz w:val="20"/>
          <w:szCs w:val="24"/>
        </w:rPr>
        <w:noBreakHyphen/>
        <w:t>se imediatamente a administração de M</w:t>
      </w:r>
      <w:r w:rsidR="00AE3517">
        <w:rPr>
          <w:rFonts w:ascii="Verdana" w:eastAsia="Times New Roman" w:hAnsi="Verdana" w:cs="Times New Roman"/>
          <w:sz w:val="20"/>
          <w:szCs w:val="24"/>
        </w:rPr>
        <w:t>OVICOL</w:t>
      </w:r>
      <w:r w:rsidRPr="00AF347B">
        <w:rPr>
          <w:rFonts w:ascii="Verdana" w:eastAsia="Times New Roman" w:hAnsi="Verdana" w:cs="Times New Roman"/>
          <w:sz w:val="20"/>
          <w:szCs w:val="24"/>
        </w:rPr>
        <w:t>, proceder à determinação de eletrólitos e qualquer anomalia deve ser tratada apropriadamente.</w:t>
      </w:r>
    </w:p>
    <w:p w14:paraId="0E63AB88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20B8293F" w14:textId="7A85588B" w:rsid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 w:rsidRPr="00AF347B">
        <w:rPr>
          <w:rFonts w:ascii="Verdana" w:eastAsia="Times New Roman" w:hAnsi="Verdana" w:cs="Times New Roman"/>
          <w:sz w:val="20"/>
          <w:szCs w:val="24"/>
        </w:rPr>
        <w:t>A absorção de outros medicamentos pode ser transitoriamente reduzida devido ao aumento da taxa de trânsito gastrointestinal induzida por M</w:t>
      </w:r>
      <w:r w:rsidR="00AE3517">
        <w:rPr>
          <w:rFonts w:ascii="Verdana" w:eastAsia="Times New Roman" w:hAnsi="Verdana" w:cs="Times New Roman"/>
          <w:sz w:val="20"/>
          <w:szCs w:val="24"/>
        </w:rPr>
        <w:t>OVICOL</w:t>
      </w:r>
      <w:r w:rsidRPr="00AF347B">
        <w:rPr>
          <w:rFonts w:ascii="Verdana" w:eastAsia="Times New Roman" w:hAnsi="Verdana" w:cs="Times New Roman"/>
          <w:sz w:val="20"/>
          <w:szCs w:val="24"/>
        </w:rPr>
        <w:t xml:space="preserve"> (ver secção </w:t>
      </w:r>
      <w:r w:rsidR="00C521B2">
        <w:rPr>
          <w:rFonts w:ascii="Verdana" w:eastAsia="Times New Roman" w:hAnsi="Verdana" w:cs="Times New Roman"/>
          <w:sz w:val="20"/>
          <w:szCs w:val="24"/>
        </w:rPr>
        <w:t>Interacções Medicamentosas</w:t>
      </w:r>
      <w:r w:rsidRPr="00AF347B">
        <w:rPr>
          <w:rFonts w:ascii="Verdana" w:eastAsia="Times New Roman" w:hAnsi="Verdana" w:cs="Times New Roman"/>
          <w:sz w:val="20"/>
          <w:szCs w:val="24"/>
        </w:rPr>
        <w:t>).</w:t>
      </w:r>
    </w:p>
    <w:p w14:paraId="54130923" w14:textId="77777777" w:rsidR="007A1B8D" w:rsidRPr="00AF347B" w:rsidRDefault="007A1B8D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639F21F5" w14:textId="427A88C6" w:rsidR="00314B38" w:rsidRDefault="003910CC" w:rsidP="003910CC">
      <w:pPr>
        <w:rPr>
          <w:rFonts w:ascii="Verdana" w:hAnsi="Verdana" w:cs="Times New Roman"/>
          <w:szCs w:val="24"/>
        </w:rPr>
      </w:pPr>
      <w:r>
        <w:rPr>
          <w:rFonts w:ascii="Verdana" w:hAnsi="Verdana" w:cs="Times New Roman"/>
          <w:szCs w:val="24"/>
        </w:rPr>
        <w:t xml:space="preserve">Nos doentes com problemas de deglutição, que necessitam de </w:t>
      </w:r>
      <w:r w:rsidR="007814EA">
        <w:rPr>
          <w:rFonts w:ascii="Verdana" w:hAnsi="Verdana" w:cs="Times New Roman"/>
          <w:szCs w:val="24"/>
        </w:rPr>
        <w:t>adição de um espessante à</w:t>
      </w:r>
      <w:r>
        <w:rPr>
          <w:rFonts w:ascii="Verdana" w:hAnsi="Verdana" w:cs="Times New Roman"/>
          <w:szCs w:val="24"/>
        </w:rPr>
        <w:t>s soluções para promover a</w:t>
      </w:r>
      <w:r w:rsidR="00314B38">
        <w:rPr>
          <w:rFonts w:ascii="Verdana" w:hAnsi="Verdana" w:cs="Times New Roman"/>
          <w:szCs w:val="24"/>
        </w:rPr>
        <w:t xml:space="preserve"> sua</w:t>
      </w:r>
      <w:r>
        <w:rPr>
          <w:rFonts w:ascii="Verdana" w:hAnsi="Verdana" w:cs="Times New Roman"/>
          <w:szCs w:val="24"/>
        </w:rPr>
        <w:t xml:space="preserve"> ingestão adequada</w:t>
      </w:r>
      <w:r w:rsidR="00314B38">
        <w:rPr>
          <w:rFonts w:ascii="Verdana" w:hAnsi="Verdana" w:cs="Times New Roman"/>
          <w:szCs w:val="24"/>
        </w:rPr>
        <w:t xml:space="preserve">, devem ser consideradas as interações, ver secção </w:t>
      </w:r>
      <w:r w:rsidR="00C521B2">
        <w:rPr>
          <w:rFonts w:ascii="Verdana" w:hAnsi="Verdana" w:cs="Times New Roman"/>
          <w:szCs w:val="24"/>
        </w:rPr>
        <w:t>Interacções Medicamentosas</w:t>
      </w:r>
      <w:r w:rsidR="00314B38">
        <w:rPr>
          <w:rFonts w:ascii="Verdana" w:hAnsi="Verdana" w:cs="Times New Roman"/>
          <w:szCs w:val="24"/>
        </w:rPr>
        <w:t>.</w:t>
      </w:r>
    </w:p>
    <w:p w14:paraId="6AE69841" w14:textId="77777777" w:rsidR="003910CC" w:rsidRPr="00AF347B" w:rsidRDefault="003910CC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2B6BF72A" w14:textId="55953AB3" w:rsidR="00AF347B" w:rsidRPr="00763BFC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4"/>
        </w:rPr>
      </w:pPr>
      <w:r w:rsidRPr="00763BFC">
        <w:rPr>
          <w:rFonts w:ascii="Verdana" w:eastAsia="Times New Roman" w:hAnsi="Verdana" w:cs="Times New Roman"/>
          <w:b/>
          <w:sz w:val="20"/>
          <w:szCs w:val="24"/>
        </w:rPr>
        <w:t>Interações medicamentosas e outras formas de interação</w:t>
      </w:r>
    </w:p>
    <w:p w14:paraId="67F5E258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5EF92CDF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 w:rsidRPr="00AF347B">
        <w:rPr>
          <w:rFonts w:ascii="Verdana" w:eastAsia="Times New Roman" w:hAnsi="Verdana" w:cs="Times New Roman"/>
          <w:sz w:val="20"/>
          <w:szCs w:val="24"/>
        </w:rPr>
        <w:t xml:space="preserve">Macrogol aumenta a solubilidade dos medicamentos que são solúveis em álcool e relativamente insolúveis em água. </w:t>
      </w:r>
    </w:p>
    <w:p w14:paraId="183B5E3A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742B404E" w14:textId="1C614237" w:rsidR="0099787B" w:rsidRPr="0065487B" w:rsidRDefault="00AF347B" w:rsidP="00997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 w:rsidRPr="00AF347B">
        <w:rPr>
          <w:rFonts w:ascii="Verdana" w:eastAsia="Times New Roman" w:hAnsi="Verdana" w:cs="Times New Roman"/>
          <w:sz w:val="20"/>
          <w:szCs w:val="24"/>
        </w:rPr>
        <w:t>Existe a possibilidade da absorção de outros medicamentos poder ser transitoriamente reduzida durante a utilização com M</w:t>
      </w:r>
      <w:r w:rsidR="00AE3517">
        <w:rPr>
          <w:rFonts w:ascii="Verdana" w:eastAsia="Times New Roman" w:hAnsi="Verdana" w:cs="Times New Roman"/>
          <w:sz w:val="20"/>
          <w:szCs w:val="24"/>
        </w:rPr>
        <w:t>OVICOL</w:t>
      </w:r>
      <w:r w:rsidRPr="00AF347B">
        <w:rPr>
          <w:rFonts w:ascii="Verdana" w:eastAsia="Times New Roman" w:hAnsi="Verdana" w:cs="Times New Roman"/>
          <w:sz w:val="20"/>
          <w:szCs w:val="24"/>
        </w:rPr>
        <w:t xml:space="preserve"> (ver secção </w:t>
      </w:r>
      <w:r w:rsidR="00C521B2">
        <w:rPr>
          <w:rFonts w:ascii="Verdana" w:eastAsia="Times New Roman" w:hAnsi="Verdana" w:cs="Times New Roman"/>
          <w:sz w:val="20"/>
          <w:szCs w:val="24"/>
        </w:rPr>
        <w:t>Advertências e Precauções Especiais de Utilização</w:t>
      </w:r>
      <w:r w:rsidRPr="00AF347B">
        <w:rPr>
          <w:rFonts w:ascii="Verdana" w:eastAsia="Times New Roman" w:hAnsi="Verdana" w:cs="Times New Roman"/>
          <w:sz w:val="20"/>
          <w:szCs w:val="24"/>
        </w:rPr>
        <w:t>). Têm havido notificações isoladas de diminuição da eficácia com algumas administrações concomitantes de medicamentos, por exemplo, antiepiléticos.</w:t>
      </w:r>
      <w:r w:rsidR="0099787B">
        <w:rPr>
          <w:rFonts w:ascii="Verdana" w:eastAsia="Times New Roman" w:hAnsi="Verdana" w:cs="Times New Roman"/>
          <w:sz w:val="20"/>
          <w:szCs w:val="24"/>
        </w:rPr>
        <w:t xml:space="preserve"> </w:t>
      </w:r>
      <w:bookmarkStart w:id="0" w:name="_Hlk103680367"/>
      <w:r w:rsidR="0099787B">
        <w:rPr>
          <w:rFonts w:ascii="Verdana" w:eastAsia="MS Mincho" w:hAnsi="Verdana" w:cs="Times New Roman"/>
          <w:sz w:val="20"/>
          <w:szCs w:val="24"/>
        </w:rPr>
        <w:t>Pelo que, outros medicamentos não devem ser tomados pela via oral uma hora antes, durante e uma hora depois de tomar o Movicol.</w:t>
      </w:r>
    </w:p>
    <w:bookmarkEnd w:id="0"/>
    <w:p w14:paraId="1BB38F2E" w14:textId="77777777" w:rsidR="0046253B" w:rsidRDefault="0046253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52889F57" w14:textId="7CC0DD9C" w:rsidR="00AF347B" w:rsidRPr="00AF347B" w:rsidRDefault="007814EA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 w:rsidRPr="003011A2">
        <w:rPr>
          <w:rFonts w:ascii="Verdana" w:eastAsia="Times New Roman" w:hAnsi="Verdana" w:cs="Times New Roman"/>
          <w:sz w:val="20"/>
          <w:szCs w:val="24"/>
        </w:rPr>
        <w:t>M</w:t>
      </w:r>
      <w:r w:rsidR="005963DD">
        <w:rPr>
          <w:rFonts w:ascii="Verdana" w:eastAsia="Times New Roman" w:hAnsi="Verdana" w:cs="Times New Roman"/>
          <w:sz w:val="20"/>
          <w:szCs w:val="24"/>
        </w:rPr>
        <w:t>ovicol</w:t>
      </w:r>
      <w:r w:rsidRPr="003011A2">
        <w:rPr>
          <w:rFonts w:ascii="Verdana" w:eastAsia="Times New Roman" w:hAnsi="Verdana" w:cs="Times New Roman"/>
          <w:sz w:val="20"/>
          <w:szCs w:val="24"/>
        </w:rPr>
        <w:t xml:space="preserve"> se usado com alimentos espessantes à base de amido pode resultar num efeito interativo potencial. O excipiente macrogol contraria o efeito espessante do amido, liquidificando as preparações que necessitam de permanecer espessas para as pessoas com problemas de deglutição.</w:t>
      </w:r>
    </w:p>
    <w:p w14:paraId="0412F026" w14:textId="77777777" w:rsidR="0099787B" w:rsidRDefault="0099787B" w:rsidP="00AF347B">
      <w:pPr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4"/>
        </w:rPr>
      </w:pPr>
    </w:p>
    <w:p w14:paraId="3F1A88FA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7805AAA5" w14:textId="0BD5F707" w:rsidR="00AF347B" w:rsidRPr="00763BFC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4"/>
        </w:rPr>
      </w:pPr>
      <w:r w:rsidRPr="00763BFC">
        <w:rPr>
          <w:rFonts w:ascii="Verdana" w:eastAsia="Times New Roman" w:hAnsi="Verdana" w:cs="Times New Roman"/>
          <w:b/>
          <w:sz w:val="20"/>
          <w:szCs w:val="24"/>
        </w:rPr>
        <w:t>Efeitos indesejáveis</w:t>
      </w:r>
    </w:p>
    <w:p w14:paraId="0C707541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514EF516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 w:rsidRPr="00AF347B">
        <w:rPr>
          <w:rFonts w:ascii="Verdana" w:eastAsia="Times New Roman" w:hAnsi="Verdana" w:cs="Times New Roman"/>
          <w:sz w:val="20"/>
          <w:szCs w:val="24"/>
        </w:rPr>
        <w:t>As reações relacionadas com o trato gastrointestinal são as que ocorrem com maior frequência.</w:t>
      </w:r>
    </w:p>
    <w:p w14:paraId="5D1D28DA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42B5278F" w14:textId="393135D6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 w:rsidRPr="00AF347B">
        <w:rPr>
          <w:rFonts w:ascii="Verdana" w:eastAsia="Times New Roman" w:hAnsi="Verdana" w:cs="Times New Roman"/>
          <w:sz w:val="20"/>
          <w:szCs w:val="24"/>
        </w:rPr>
        <w:t>Estas reações podem ocorrer como consequência da expansão do conteúdo do trato gastrointestinal, e de um aumento da motilidade devido aos efeitos farmacológicos do M</w:t>
      </w:r>
      <w:r w:rsidR="00AE3517">
        <w:rPr>
          <w:rFonts w:ascii="Verdana" w:eastAsia="Times New Roman" w:hAnsi="Verdana" w:cs="Times New Roman"/>
          <w:sz w:val="20"/>
          <w:szCs w:val="24"/>
        </w:rPr>
        <w:t>OVICOL</w:t>
      </w:r>
      <w:r w:rsidRPr="00AF347B">
        <w:rPr>
          <w:rFonts w:ascii="Verdana" w:eastAsia="Times New Roman" w:hAnsi="Verdana" w:cs="Times New Roman"/>
          <w:sz w:val="20"/>
          <w:szCs w:val="24"/>
        </w:rPr>
        <w:t>. A diarreia ligeira normalmente responde à redução da dose.</w:t>
      </w:r>
    </w:p>
    <w:p w14:paraId="3ABB7629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44B0DB3C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 w:rsidRPr="00AF347B">
        <w:rPr>
          <w:rFonts w:ascii="Verdana" w:eastAsia="Times New Roman" w:hAnsi="Verdana" w:cs="Times New Roman"/>
          <w:sz w:val="20"/>
          <w:szCs w:val="24"/>
        </w:rPr>
        <w:t>A frequência dos efeitos adversos não é conhecida já que não pode ser estimada em relação aos dados disponíveis.</w:t>
      </w:r>
    </w:p>
    <w:p w14:paraId="4FD76C8E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1"/>
        <w:gridCol w:w="4452"/>
      </w:tblGrid>
      <w:tr w:rsidR="00AF347B" w:rsidRPr="00AF347B" w14:paraId="6E7754CD" w14:textId="77777777" w:rsidTr="00D54410"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C62AC" w14:textId="77777777" w:rsidR="00AF347B" w:rsidRPr="00B7707C" w:rsidRDefault="00AF347B" w:rsidP="00AF347B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sz w:val="20"/>
                <w:szCs w:val="24"/>
              </w:rPr>
            </w:pPr>
            <w:r w:rsidRPr="00B7707C">
              <w:rPr>
                <w:rFonts w:ascii="Verdana" w:eastAsia="Times New Roman" w:hAnsi="Verdana" w:cs="Times New Roman"/>
                <w:bCs/>
                <w:sz w:val="20"/>
                <w:szCs w:val="24"/>
              </w:rPr>
              <w:t xml:space="preserve">Classes de sistemas de órgãos 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2737" w14:textId="77777777" w:rsidR="00AF347B" w:rsidRPr="00B7707C" w:rsidRDefault="00AF347B" w:rsidP="00AF347B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sz w:val="20"/>
                <w:szCs w:val="24"/>
              </w:rPr>
            </w:pPr>
            <w:r w:rsidRPr="00B7707C">
              <w:rPr>
                <w:rFonts w:ascii="Verdana" w:eastAsia="Times New Roman" w:hAnsi="Verdana" w:cs="Times New Roman"/>
                <w:bCs/>
                <w:sz w:val="20"/>
                <w:szCs w:val="24"/>
              </w:rPr>
              <w:t>Acontecimento adverso</w:t>
            </w:r>
          </w:p>
        </w:tc>
      </w:tr>
      <w:tr w:rsidR="00AF347B" w:rsidRPr="00AF347B" w14:paraId="2D5C8A2F" w14:textId="77777777" w:rsidTr="00D54410"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24EC" w14:textId="77777777" w:rsidR="00AF347B" w:rsidRPr="00B7707C" w:rsidRDefault="00AF347B" w:rsidP="00AF347B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sz w:val="20"/>
                <w:szCs w:val="24"/>
              </w:rPr>
            </w:pPr>
            <w:r w:rsidRPr="00B7707C">
              <w:rPr>
                <w:rFonts w:ascii="Verdana" w:eastAsia="Times New Roman" w:hAnsi="Verdana" w:cs="Times New Roman"/>
                <w:bCs/>
                <w:sz w:val="20"/>
                <w:szCs w:val="24"/>
              </w:rPr>
              <w:t>Doenças do sistema imunitário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53AA" w14:textId="77777777" w:rsidR="00AF347B" w:rsidRPr="00AF347B" w:rsidRDefault="00AF347B" w:rsidP="00AF347B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4"/>
              </w:rPr>
            </w:pPr>
            <w:r w:rsidRPr="00AF347B">
              <w:rPr>
                <w:rFonts w:ascii="Verdana" w:eastAsia="Times New Roman" w:hAnsi="Verdana" w:cs="Times New Roman"/>
                <w:sz w:val="20"/>
                <w:szCs w:val="24"/>
              </w:rPr>
              <w:t>Reações alérgicas, incluindo reações anafiláticas,   dispneia e reações cutâneas (ver abaixo).</w:t>
            </w:r>
          </w:p>
        </w:tc>
      </w:tr>
      <w:tr w:rsidR="00AF347B" w:rsidRPr="00AF347B" w14:paraId="4D25BCA7" w14:textId="77777777" w:rsidTr="00D54410"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F66E" w14:textId="77777777" w:rsidR="00AF347B" w:rsidRPr="00B7707C" w:rsidRDefault="00AF347B" w:rsidP="00AF347B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sz w:val="20"/>
                <w:szCs w:val="24"/>
              </w:rPr>
            </w:pPr>
            <w:r w:rsidRPr="00B7707C">
              <w:rPr>
                <w:rFonts w:ascii="Verdana" w:eastAsia="Times New Roman" w:hAnsi="Verdana" w:cs="Times New Roman"/>
                <w:bCs/>
                <w:sz w:val="20"/>
                <w:szCs w:val="24"/>
              </w:rPr>
              <w:lastRenderedPageBreak/>
              <w:t>Afeções dos tecidos cutâneos e subcutâneos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AD22" w14:textId="77777777" w:rsidR="00AF347B" w:rsidRPr="00AF347B" w:rsidRDefault="00AF347B" w:rsidP="00AF347B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4"/>
              </w:rPr>
            </w:pPr>
            <w:r w:rsidRPr="00AF347B">
              <w:rPr>
                <w:rFonts w:ascii="Verdana" w:eastAsia="Times New Roman" w:hAnsi="Verdana" w:cs="Times New Roman"/>
                <w:sz w:val="20"/>
                <w:szCs w:val="24"/>
              </w:rPr>
              <w:t>Reações alérgicas cutâneas incluindo</w:t>
            </w:r>
            <w:r w:rsidRPr="00AF347B">
              <w:rPr>
                <w:rFonts w:ascii="Verdana" w:eastAsia="Times New Roman" w:hAnsi="Verdana" w:cs="Times New Roman"/>
                <w:sz w:val="20"/>
                <w:szCs w:val="24"/>
              </w:rPr>
              <w:br/>
              <w:t>angioedema, urticária, prurido, erupção cutânea, eritema</w:t>
            </w:r>
          </w:p>
        </w:tc>
      </w:tr>
      <w:tr w:rsidR="00AF347B" w:rsidRPr="00AF347B" w14:paraId="2436B439" w14:textId="77777777" w:rsidTr="00D54410"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4190" w14:textId="77777777" w:rsidR="00AF347B" w:rsidRPr="00B7707C" w:rsidRDefault="00AF347B" w:rsidP="00AF347B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sz w:val="20"/>
                <w:szCs w:val="24"/>
              </w:rPr>
            </w:pPr>
            <w:r w:rsidRPr="00B7707C">
              <w:rPr>
                <w:rFonts w:ascii="Verdana" w:eastAsia="Times New Roman" w:hAnsi="Verdana" w:cs="Times New Roman"/>
                <w:bCs/>
                <w:sz w:val="20"/>
                <w:szCs w:val="24"/>
              </w:rPr>
              <w:t>Doenças do metabolismo e da nutrição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7048F" w14:textId="77777777" w:rsidR="00AF347B" w:rsidRPr="00AF347B" w:rsidRDefault="00AF347B" w:rsidP="00AF347B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4"/>
              </w:rPr>
            </w:pPr>
            <w:r w:rsidRPr="00AF347B">
              <w:rPr>
                <w:rFonts w:ascii="Verdana" w:eastAsia="Times New Roman" w:hAnsi="Verdana" w:cs="Times New Roman"/>
                <w:sz w:val="20"/>
                <w:szCs w:val="24"/>
              </w:rPr>
              <w:t>Alterações eletrolíticas, especialmente, hipercaliemia e hipocalemia</w:t>
            </w:r>
          </w:p>
        </w:tc>
      </w:tr>
      <w:tr w:rsidR="00AF347B" w:rsidRPr="00AF347B" w14:paraId="40571211" w14:textId="77777777" w:rsidTr="00D54410"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B31D" w14:textId="77777777" w:rsidR="00AF347B" w:rsidRPr="00B7707C" w:rsidRDefault="00AF347B" w:rsidP="00AF347B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sz w:val="20"/>
                <w:szCs w:val="24"/>
              </w:rPr>
            </w:pPr>
            <w:r w:rsidRPr="00B7707C">
              <w:rPr>
                <w:rFonts w:ascii="Verdana" w:eastAsia="Times New Roman" w:hAnsi="Verdana" w:cs="Times New Roman"/>
                <w:bCs/>
                <w:sz w:val="20"/>
                <w:szCs w:val="24"/>
              </w:rPr>
              <w:t>Doenças do sistema nervoso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5985" w14:textId="77777777" w:rsidR="00AF347B" w:rsidRPr="00AF347B" w:rsidRDefault="00AF347B" w:rsidP="00AF347B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4"/>
              </w:rPr>
            </w:pPr>
            <w:r w:rsidRPr="00AF347B">
              <w:rPr>
                <w:rFonts w:ascii="Verdana" w:eastAsia="Times New Roman" w:hAnsi="Verdana" w:cs="Times New Roman"/>
                <w:sz w:val="20"/>
                <w:szCs w:val="24"/>
              </w:rPr>
              <w:t>Cefaleia</w:t>
            </w:r>
          </w:p>
        </w:tc>
      </w:tr>
      <w:tr w:rsidR="00AF347B" w:rsidRPr="00AF347B" w14:paraId="2681AF60" w14:textId="77777777" w:rsidTr="00D54410"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EC57" w14:textId="77777777" w:rsidR="00AF347B" w:rsidRPr="00B7707C" w:rsidRDefault="00AF347B" w:rsidP="00AF347B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sz w:val="20"/>
                <w:szCs w:val="24"/>
              </w:rPr>
            </w:pPr>
            <w:r w:rsidRPr="00B7707C">
              <w:rPr>
                <w:rFonts w:ascii="Verdana" w:eastAsia="Times New Roman" w:hAnsi="Verdana" w:cs="Times New Roman"/>
                <w:bCs/>
                <w:sz w:val="20"/>
                <w:szCs w:val="24"/>
              </w:rPr>
              <w:t xml:space="preserve">Doenças gastrointestinais 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C176" w14:textId="77777777" w:rsidR="00AF347B" w:rsidRPr="00AF347B" w:rsidRDefault="00AF347B" w:rsidP="00AF347B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4"/>
              </w:rPr>
            </w:pPr>
            <w:r w:rsidRPr="00AF347B">
              <w:rPr>
                <w:rFonts w:ascii="Verdana" w:eastAsia="Times New Roman" w:hAnsi="Verdana" w:cs="Times New Roman"/>
                <w:sz w:val="20"/>
                <w:szCs w:val="24"/>
              </w:rPr>
              <w:t>Dor abdominal, diarreia, vómitos, náuseas, dispepsia, distensão abdominal, borborismo, flatulência e desconforto anorretal.</w:t>
            </w:r>
          </w:p>
        </w:tc>
      </w:tr>
      <w:tr w:rsidR="00AF347B" w:rsidRPr="00AF347B" w14:paraId="19CE4A4B" w14:textId="77777777" w:rsidTr="00D54410"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B1BE" w14:textId="77777777" w:rsidR="00AF347B" w:rsidRPr="00B7707C" w:rsidRDefault="00AF347B" w:rsidP="00AF347B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sz w:val="20"/>
                <w:szCs w:val="24"/>
              </w:rPr>
            </w:pPr>
            <w:r w:rsidRPr="00B7707C">
              <w:rPr>
                <w:rFonts w:ascii="Verdana" w:eastAsia="Times New Roman" w:hAnsi="Verdana" w:cs="Times New Roman"/>
                <w:bCs/>
                <w:sz w:val="20"/>
                <w:szCs w:val="24"/>
              </w:rPr>
              <w:t>Perturbações gerais e alterações no local de administração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A4E3" w14:textId="77777777" w:rsidR="00AF347B" w:rsidRPr="00AF347B" w:rsidRDefault="00AF347B" w:rsidP="00AF347B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4"/>
              </w:rPr>
            </w:pPr>
            <w:r w:rsidRPr="00AF347B">
              <w:rPr>
                <w:rFonts w:ascii="Verdana" w:eastAsia="Times New Roman" w:hAnsi="Verdana" w:cs="Times New Roman"/>
                <w:sz w:val="20"/>
                <w:szCs w:val="24"/>
              </w:rPr>
              <w:t>Edema periférico</w:t>
            </w:r>
          </w:p>
        </w:tc>
      </w:tr>
    </w:tbl>
    <w:p w14:paraId="1A04F112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324E0DBC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7771BEFC" w14:textId="77777777" w:rsidR="00AF347B" w:rsidRPr="00B7707C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bCs/>
          <w:sz w:val="20"/>
          <w:szCs w:val="24"/>
        </w:rPr>
      </w:pPr>
    </w:p>
    <w:p w14:paraId="61B8B3A5" w14:textId="263A7843" w:rsidR="00AF347B" w:rsidRPr="00763BFC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4"/>
        </w:rPr>
      </w:pPr>
      <w:r w:rsidRPr="00763BFC">
        <w:rPr>
          <w:rFonts w:ascii="Verdana" w:eastAsia="Times New Roman" w:hAnsi="Verdana" w:cs="Times New Roman"/>
          <w:b/>
          <w:sz w:val="20"/>
          <w:szCs w:val="24"/>
        </w:rPr>
        <w:t>D</w:t>
      </w:r>
      <w:r w:rsidR="00C521B2">
        <w:rPr>
          <w:rFonts w:ascii="Verdana" w:eastAsia="Times New Roman" w:hAnsi="Verdana" w:cs="Times New Roman"/>
          <w:b/>
          <w:sz w:val="20"/>
          <w:szCs w:val="24"/>
        </w:rPr>
        <w:t>ata da Revisão do Texto</w:t>
      </w:r>
    </w:p>
    <w:p w14:paraId="05D0A294" w14:textId="77777777" w:rsidR="00AF347B" w:rsidRPr="00AF347B" w:rsidRDefault="00AF347B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</w:p>
    <w:p w14:paraId="2FF9AEE1" w14:textId="24BF920E" w:rsidR="00AF347B" w:rsidRPr="00AF347B" w:rsidRDefault="00130C5A" w:rsidP="00AF347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4"/>
        </w:rPr>
      </w:pPr>
      <w:r>
        <w:rPr>
          <w:rFonts w:ascii="Verdana" w:eastAsia="Times New Roman" w:hAnsi="Verdana" w:cs="Times New Roman"/>
          <w:sz w:val="20"/>
          <w:szCs w:val="24"/>
        </w:rPr>
        <w:t>13</w:t>
      </w:r>
      <w:r w:rsidR="00A75EEB">
        <w:rPr>
          <w:rFonts w:ascii="Verdana" w:eastAsia="Times New Roman" w:hAnsi="Verdana" w:cs="Times New Roman"/>
          <w:sz w:val="20"/>
          <w:szCs w:val="24"/>
        </w:rPr>
        <w:t>/</w:t>
      </w:r>
      <w:r w:rsidR="003D63B9">
        <w:rPr>
          <w:rFonts w:ascii="Verdana" w:eastAsia="Times New Roman" w:hAnsi="Verdana" w:cs="Times New Roman"/>
          <w:sz w:val="20"/>
          <w:szCs w:val="24"/>
        </w:rPr>
        <w:t>03</w:t>
      </w:r>
      <w:r w:rsidR="00A75EEB">
        <w:rPr>
          <w:rFonts w:ascii="Verdana" w:eastAsia="Times New Roman" w:hAnsi="Verdana" w:cs="Times New Roman"/>
          <w:sz w:val="20"/>
          <w:szCs w:val="24"/>
        </w:rPr>
        <w:t>/</w:t>
      </w:r>
      <w:r w:rsidR="003D63B9">
        <w:rPr>
          <w:rFonts w:ascii="Verdana" w:eastAsia="Times New Roman" w:hAnsi="Verdana" w:cs="Times New Roman"/>
          <w:sz w:val="20"/>
          <w:szCs w:val="24"/>
        </w:rPr>
        <w:t>202</w:t>
      </w:r>
      <w:r>
        <w:rPr>
          <w:rFonts w:ascii="Verdana" w:eastAsia="Times New Roman" w:hAnsi="Verdana" w:cs="Times New Roman"/>
          <w:sz w:val="20"/>
          <w:szCs w:val="24"/>
        </w:rPr>
        <w:t>6</w:t>
      </w:r>
    </w:p>
    <w:p w14:paraId="18B6C089" w14:textId="7D8F5217" w:rsidR="00715EAF" w:rsidRDefault="00715EAF"/>
    <w:p w14:paraId="7E4D3D27" w14:textId="74300AA9" w:rsidR="00141E37" w:rsidRDefault="00141E37"/>
    <w:p w14:paraId="3854BCB6" w14:textId="77777777" w:rsidR="00C521B2" w:rsidRDefault="00141E37" w:rsidP="00C521B2">
      <w:pPr>
        <w:autoSpaceDE w:val="0"/>
        <w:autoSpaceDN w:val="0"/>
        <w:adjustRightInd w:val="0"/>
        <w:rPr>
          <w:b/>
          <w:bCs/>
        </w:rPr>
      </w:pPr>
      <w:r w:rsidRPr="009D1469">
        <w:rPr>
          <w:b/>
          <w:bCs/>
        </w:rPr>
        <w:t xml:space="preserve">Para mais informações deverá contactar o Titular da Autorização de Introdução no Mercado. </w:t>
      </w:r>
    </w:p>
    <w:p w14:paraId="7215DB38" w14:textId="2D29D172" w:rsidR="00141E37" w:rsidRPr="009D1469" w:rsidRDefault="00141E37" w:rsidP="00C521B2">
      <w:pPr>
        <w:autoSpaceDE w:val="0"/>
        <w:autoSpaceDN w:val="0"/>
        <w:adjustRightInd w:val="0"/>
        <w:rPr>
          <w:b/>
          <w:bCs/>
        </w:rPr>
      </w:pPr>
      <w:r w:rsidRPr="009D1469">
        <w:rPr>
          <w:b/>
          <w:bCs/>
        </w:rPr>
        <w:t xml:space="preserve">Medicamento Não Sujeito a Receita Médica. </w:t>
      </w:r>
    </w:p>
    <w:sectPr w:rsidR="00141E37" w:rsidRPr="009D146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DD063" w14:textId="77777777" w:rsidR="00CA1560" w:rsidRDefault="00CA1560">
      <w:pPr>
        <w:spacing w:after="0" w:line="240" w:lineRule="auto"/>
      </w:pPr>
      <w:r>
        <w:separator/>
      </w:r>
    </w:p>
  </w:endnote>
  <w:endnote w:type="continuationSeparator" w:id="0">
    <w:p w14:paraId="41860685" w14:textId="77777777" w:rsidR="00CA1560" w:rsidRDefault="00CA1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FA0D4" w14:textId="77777777" w:rsidR="00CA1560" w:rsidRDefault="00CA1560">
      <w:pPr>
        <w:spacing w:after="0" w:line="240" w:lineRule="auto"/>
      </w:pPr>
      <w:r>
        <w:separator/>
      </w:r>
    </w:p>
  </w:footnote>
  <w:footnote w:type="continuationSeparator" w:id="0">
    <w:p w14:paraId="701E27AD" w14:textId="77777777" w:rsidR="00CA1560" w:rsidRDefault="00CA15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B58D86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E2A76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0E61EC8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D06D38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16CDD2A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20DE58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6612D0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87E3F2E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7A23A92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3E831CC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19313DD"/>
    <w:multiLevelType w:val="multilevel"/>
    <w:tmpl w:val="0816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2742072"/>
    <w:multiLevelType w:val="multilevel"/>
    <w:tmpl w:val="0816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5204594"/>
    <w:multiLevelType w:val="multilevel"/>
    <w:tmpl w:val="08160023"/>
    <w:styleLink w:val="ArtigoSeco"/>
    <w:lvl w:ilvl="0">
      <w:start w:val="1"/>
      <w:numFmt w:val="upperRoman"/>
      <w:pStyle w:val="Ttulo1"/>
      <w:lvlText w:val="Article %1."/>
      <w:lvlJc w:val="left"/>
      <w:pPr>
        <w:ind w:left="0" w:firstLine="0"/>
      </w:pPr>
      <w:rPr>
        <w:rFonts w:ascii="Arial" w:hAnsi="Arial" w:cs="Arial"/>
      </w:r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num w:numId="1" w16cid:durableId="2064284463">
    <w:abstractNumId w:val="10"/>
  </w:num>
  <w:num w:numId="2" w16cid:durableId="1000936395">
    <w:abstractNumId w:val="11"/>
  </w:num>
  <w:num w:numId="3" w16cid:durableId="1243183156">
    <w:abstractNumId w:val="12"/>
  </w:num>
  <w:num w:numId="4" w16cid:durableId="1296981706">
    <w:abstractNumId w:val="9"/>
  </w:num>
  <w:num w:numId="5" w16cid:durableId="39979500">
    <w:abstractNumId w:val="7"/>
  </w:num>
  <w:num w:numId="6" w16cid:durableId="314988902">
    <w:abstractNumId w:val="6"/>
  </w:num>
  <w:num w:numId="7" w16cid:durableId="855659981">
    <w:abstractNumId w:val="5"/>
  </w:num>
  <w:num w:numId="8" w16cid:durableId="1051920793">
    <w:abstractNumId w:val="4"/>
  </w:num>
  <w:num w:numId="9" w16cid:durableId="1173376702">
    <w:abstractNumId w:val="8"/>
  </w:num>
  <w:num w:numId="10" w16cid:durableId="440223127">
    <w:abstractNumId w:val="3"/>
  </w:num>
  <w:num w:numId="11" w16cid:durableId="685207754">
    <w:abstractNumId w:val="2"/>
  </w:num>
  <w:num w:numId="12" w16cid:durableId="621889441">
    <w:abstractNumId w:val="1"/>
  </w:num>
  <w:num w:numId="13" w16cid:durableId="1718819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it-IT" w:vendorID="64" w:dllVersion="6" w:nlCheck="1" w:checkStyle="0"/>
  <w:activeWritingStyle w:appName="MSWord" w:lang="pt-PT" w:vendorID="64" w:dllVersion="0" w:nlCheck="1" w:checkStyle="0"/>
  <w:activeWritingStyle w:appName="MSWord" w:lang="it-IT" w:vendorID="64" w:dllVersion="0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47B"/>
    <w:rsid w:val="00002D1B"/>
    <w:rsid w:val="00011BC1"/>
    <w:rsid w:val="00014350"/>
    <w:rsid w:val="00075487"/>
    <w:rsid w:val="0008014D"/>
    <w:rsid w:val="000811BE"/>
    <w:rsid w:val="00085951"/>
    <w:rsid w:val="000871C8"/>
    <w:rsid w:val="00091A95"/>
    <w:rsid w:val="0009699F"/>
    <w:rsid w:val="000A3332"/>
    <w:rsid w:val="000B468F"/>
    <w:rsid w:val="000C6AC3"/>
    <w:rsid w:val="000D129B"/>
    <w:rsid w:val="000E7F05"/>
    <w:rsid w:val="000F5754"/>
    <w:rsid w:val="000F75E4"/>
    <w:rsid w:val="00105811"/>
    <w:rsid w:val="00111B12"/>
    <w:rsid w:val="001122D4"/>
    <w:rsid w:val="00130C5A"/>
    <w:rsid w:val="001324F4"/>
    <w:rsid w:val="00141D6B"/>
    <w:rsid w:val="00141E37"/>
    <w:rsid w:val="0018186B"/>
    <w:rsid w:val="001864BB"/>
    <w:rsid w:val="001C1F29"/>
    <w:rsid w:val="001C626F"/>
    <w:rsid w:val="001C667C"/>
    <w:rsid w:val="001D6A4C"/>
    <w:rsid w:val="001E4EB1"/>
    <w:rsid w:val="001E7198"/>
    <w:rsid w:val="001E7C10"/>
    <w:rsid w:val="001F1DA7"/>
    <w:rsid w:val="001F4EF3"/>
    <w:rsid w:val="00215D4D"/>
    <w:rsid w:val="00225168"/>
    <w:rsid w:val="00241D0D"/>
    <w:rsid w:val="00261489"/>
    <w:rsid w:val="00262372"/>
    <w:rsid w:val="0027645B"/>
    <w:rsid w:val="00290AED"/>
    <w:rsid w:val="002A1206"/>
    <w:rsid w:val="002C370F"/>
    <w:rsid w:val="002C4066"/>
    <w:rsid w:val="002D6863"/>
    <w:rsid w:val="0030061B"/>
    <w:rsid w:val="003011A2"/>
    <w:rsid w:val="00314B38"/>
    <w:rsid w:val="00321F00"/>
    <w:rsid w:val="00325C56"/>
    <w:rsid w:val="00335545"/>
    <w:rsid w:val="003436DA"/>
    <w:rsid w:val="00357AFE"/>
    <w:rsid w:val="0037448A"/>
    <w:rsid w:val="003760E1"/>
    <w:rsid w:val="00376867"/>
    <w:rsid w:val="00387ACA"/>
    <w:rsid w:val="0039070A"/>
    <w:rsid w:val="003910CC"/>
    <w:rsid w:val="003A6F2E"/>
    <w:rsid w:val="003B64C0"/>
    <w:rsid w:val="003B6619"/>
    <w:rsid w:val="003C2493"/>
    <w:rsid w:val="003C6A8E"/>
    <w:rsid w:val="003D63B9"/>
    <w:rsid w:val="003E6EC8"/>
    <w:rsid w:val="003F1B78"/>
    <w:rsid w:val="003F7868"/>
    <w:rsid w:val="00431F0A"/>
    <w:rsid w:val="00433C8A"/>
    <w:rsid w:val="00447818"/>
    <w:rsid w:val="0046253B"/>
    <w:rsid w:val="004814C5"/>
    <w:rsid w:val="0048387C"/>
    <w:rsid w:val="004850B5"/>
    <w:rsid w:val="004A22E1"/>
    <w:rsid w:val="004B5546"/>
    <w:rsid w:val="004C5869"/>
    <w:rsid w:val="004C756F"/>
    <w:rsid w:val="004D181C"/>
    <w:rsid w:val="004E2093"/>
    <w:rsid w:val="004F3BB6"/>
    <w:rsid w:val="0050413A"/>
    <w:rsid w:val="00511455"/>
    <w:rsid w:val="00514932"/>
    <w:rsid w:val="0051580B"/>
    <w:rsid w:val="005206F9"/>
    <w:rsid w:val="00536558"/>
    <w:rsid w:val="00562850"/>
    <w:rsid w:val="00565DE2"/>
    <w:rsid w:val="00566743"/>
    <w:rsid w:val="005715EB"/>
    <w:rsid w:val="0058441F"/>
    <w:rsid w:val="00596395"/>
    <w:rsid w:val="005963DD"/>
    <w:rsid w:val="00597256"/>
    <w:rsid w:val="005A0B6B"/>
    <w:rsid w:val="005B7190"/>
    <w:rsid w:val="005C1BCC"/>
    <w:rsid w:val="005C5AED"/>
    <w:rsid w:val="005D4C3C"/>
    <w:rsid w:val="005D4E57"/>
    <w:rsid w:val="005E2174"/>
    <w:rsid w:val="005E7EDC"/>
    <w:rsid w:val="005F3CA7"/>
    <w:rsid w:val="006038C6"/>
    <w:rsid w:val="00606C40"/>
    <w:rsid w:val="006415D7"/>
    <w:rsid w:val="00647029"/>
    <w:rsid w:val="00666B59"/>
    <w:rsid w:val="00686A04"/>
    <w:rsid w:val="006905FD"/>
    <w:rsid w:val="006A05E1"/>
    <w:rsid w:val="006C484C"/>
    <w:rsid w:val="006F5481"/>
    <w:rsid w:val="00701063"/>
    <w:rsid w:val="00713051"/>
    <w:rsid w:val="00715EAF"/>
    <w:rsid w:val="00720483"/>
    <w:rsid w:val="007251ED"/>
    <w:rsid w:val="00731C54"/>
    <w:rsid w:val="00736251"/>
    <w:rsid w:val="00763BFC"/>
    <w:rsid w:val="00775F4F"/>
    <w:rsid w:val="007814EA"/>
    <w:rsid w:val="00785A08"/>
    <w:rsid w:val="00787279"/>
    <w:rsid w:val="007A1B8D"/>
    <w:rsid w:val="007C33D1"/>
    <w:rsid w:val="007D2C3B"/>
    <w:rsid w:val="007D3FD6"/>
    <w:rsid w:val="007D5C5E"/>
    <w:rsid w:val="007D5D7C"/>
    <w:rsid w:val="007E7C9C"/>
    <w:rsid w:val="007F0F39"/>
    <w:rsid w:val="008066BC"/>
    <w:rsid w:val="008069A3"/>
    <w:rsid w:val="00826BBD"/>
    <w:rsid w:val="008324AC"/>
    <w:rsid w:val="008359F8"/>
    <w:rsid w:val="00836EEA"/>
    <w:rsid w:val="008410F5"/>
    <w:rsid w:val="0086431A"/>
    <w:rsid w:val="00870EF2"/>
    <w:rsid w:val="0089046A"/>
    <w:rsid w:val="008921A6"/>
    <w:rsid w:val="00892D26"/>
    <w:rsid w:val="008A00C1"/>
    <w:rsid w:val="008A4982"/>
    <w:rsid w:val="008B701D"/>
    <w:rsid w:val="008B7D5B"/>
    <w:rsid w:val="008C0B4B"/>
    <w:rsid w:val="008C0D33"/>
    <w:rsid w:val="008E5FE5"/>
    <w:rsid w:val="00900432"/>
    <w:rsid w:val="00905465"/>
    <w:rsid w:val="009277E0"/>
    <w:rsid w:val="00930448"/>
    <w:rsid w:val="00936D2A"/>
    <w:rsid w:val="00941EF3"/>
    <w:rsid w:val="009448F0"/>
    <w:rsid w:val="00953D79"/>
    <w:rsid w:val="00955A9F"/>
    <w:rsid w:val="00956E97"/>
    <w:rsid w:val="00973A88"/>
    <w:rsid w:val="00975A86"/>
    <w:rsid w:val="00984022"/>
    <w:rsid w:val="00990DC4"/>
    <w:rsid w:val="00994F28"/>
    <w:rsid w:val="0099787B"/>
    <w:rsid w:val="009A1C43"/>
    <w:rsid w:val="009B73EC"/>
    <w:rsid w:val="009C3878"/>
    <w:rsid w:val="009C3C99"/>
    <w:rsid w:val="009D1469"/>
    <w:rsid w:val="009E77B9"/>
    <w:rsid w:val="009F52AC"/>
    <w:rsid w:val="00A02128"/>
    <w:rsid w:val="00A06BB7"/>
    <w:rsid w:val="00A207F9"/>
    <w:rsid w:val="00A20A1A"/>
    <w:rsid w:val="00A23E4C"/>
    <w:rsid w:val="00A27413"/>
    <w:rsid w:val="00A37161"/>
    <w:rsid w:val="00A4339C"/>
    <w:rsid w:val="00A52DC9"/>
    <w:rsid w:val="00A548CC"/>
    <w:rsid w:val="00A57D48"/>
    <w:rsid w:val="00A625F1"/>
    <w:rsid w:val="00A75EEB"/>
    <w:rsid w:val="00A77FDE"/>
    <w:rsid w:val="00A83CC2"/>
    <w:rsid w:val="00AD40EB"/>
    <w:rsid w:val="00AE3517"/>
    <w:rsid w:val="00AF347B"/>
    <w:rsid w:val="00B06F64"/>
    <w:rsid w:val="00B259DC"/>
    <w:rsid w:val="00B32C7F"/>
    <w:rsid w:val="00B538E0"/>
    <w:rsid w:val="00B53A80"/>
    <w:rsid w:val="00B5656C"/>
    <w:rsid w:val="00B64A00"/>
    <w:rsid w:val="00B7707C"/>
    <w:rsid w:val="00B86591"/>
    <w:rsid w:val="00BA15A4"/>
    <w:rsid w:val="00BA26A1"/>
    <w:rsid w:val="00BA5CC3"/>
    <w:rsid w:val="00BB1C5A"/>
    <w:rsid w:val="00BC116F"/>
    <w:rsid w:val="00BC596F"/>
    <w:rsid w:val="00BD3606"/>
    <w:rsid w:val="00BE0F09"/>
    <w:rsid w:val="00BE2B4A"/>
    <w:rsid w:val="00BF4B39"/>
    <w:rsid w:val="00C0335E"/>
    <w:rsid w:val="00C05435"/>
    <w:rsid w:val="00C444C1"/>
    <w:rsid w:val="00C45F4A"/>
    <w:rsid w:val="00C521B2"/>
    <w:rsid w:val="00C53CCD"/>
    <w:rsid w:val="00C55994"/>
    <w:rsid w:val="00C60ABA"/>
    <w:rsid w:val="00C75E6D"/>
    <w:rsid w:val="00C76DC3"/>
    <w:rsid w:val="00CA1560"/>
    <w:rsid w:val="00CF23DC"/>
    <w:rsid w:val="00CF63EC"/>
    <w:rsid w:val="00CF6F57"/>
    <w:rsid w:val="00CF7001"/>
    <w:rsid w:val="00D019DB"/>
    <w:rsid w:val="00D07B37"/>
    <w:rsid w:val="00D236C0"/>
    <w:rsid w:val="00D24BAF"/>
    <w:rsid w:val="00D5731E"/>
    <w:rsid w:val="00D83411"/>
    <w:rsid w:val="00DA0679"/>
    <w:rsid w:val="00DA0DEF"/>
    <w:rsid w:val="00DA5A6B"/>
    <w:rsid w:val="00DB4170"/>
    <w:rsid w:val="00DB43C9"/>
    <w:rsid w:val="00DD3C1E"/>
    <w:rsid w:val="00DE3A8E"/>
    <w:rsid w:val="00DE4F69"/>
    <w:rsid w:val="00DE6AE8"/>
    <w:rsid w:val="00E000A3"/>
    <w:rsid w:val="00E11E45"/>
    <w:rsid w:val="00E13F4D"/>
    <w:rsid w:val="00E230C0"/>
    <w:rsid w:val="00E30FC9"/>
    <w:rsid w:val="00E321F1"/>
    <w:rsid w:val="00E322E6"/>
    <w:rsid w:val="00E37587"/>
    <w:rsid w:val="00E44004"/>
    <w:rsid w:val="00E440AE"/>
    <w:rsid w:val="00E73131"/>
    <w:rsid w:val="00E74F74"/>
    <w:rsid w:val="00E825BB"/>
    <w:rsid w:val="00E84085"/>
    <w:rsid w:val="00EA322B"/>
    <w:rsid w:val="00EA74B0"/>
    <w:rsid w:val="00EA7725"/>
    <w:rsid w:val="00EB0440"/>
    <w:rsid w:val="00EB12DF"/>
    <w:rsid w:val="00EC32FF"/>
    <w:rsid w:val="00EC3958"/>
    <w:rsid w:val="00EC4F99"/>
    <w:rsid w:val="00EC64E5"/>
    <w:rsid w:val="00EC6892"/>
    <w:rsid w:val="00ED4CB2"/>
    <w:rsid w:val="00EE649E"/>
    <w:rsid w:val="00EF4EF0"/>
    <w:rsid w:val="00EF5908"/>
    <w:rsid w:val="00F1226E"/>
    <w:rsid w:val="00F17393"/>
    <w:rsid w:val="00F36850"/>
    <w:rsid w:val="00F4156B"/>
    <w:rsid w:val="00F440A1"/>
    <w:rsid w:val="00F450E1"/>
    <w:rsid w:val="00F52678"/>
    <w:rsid w:val="00F66060"/>
    <w:rsid w:val="00F71E07"/>
    <w:rsid w:val="00F86614"/>
    <w:rsid w:val="00F93C1D"/>
    <w:rsid w:val="00FA412F"/>
    <w:rsid w:val="00FA4C41"/>
    <w:rsid w:val="00FB4D4B"/>
    <w:rsid w:val="00FB4E7B"/>
    <w:rsid w:val="00FC1BDE"/>
    <w:rsid w:val="00FD5771"/>
    <w:rsid w:val="00FD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FE865C3"/>
  <w15:chartTrackingRefBased/>
  <w15:docId w15:val="{F609DE47-2877-4B6D-993C-445E88049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</w:rPr>
  </w:style>
  <w:style w:type="paragraph" w:styleId="Ttulo1">
    <w:name w:val="heading 1"/>
    <w:basedOn w:val="Normal"/>
    <w:next w:val="Normal"/>
    <w:link w:val="Ttulo1Carter"/>
    <w:uiPriority w:val="9"/>
    <w:qFormat/>
    <w:rsid w:val="00D07B37"/>
    <w:pPr>
      <w:keepNext/>
      <w:keepLines/>
      <w:numPr>
        <w:numId w:val="3"/>
      </w:numPr>
      <w:spacing w:before="240" w:after="0"/>
      <w:outlineLvl w:val="0"/>
    </w:pPr>
    <w:rPr>
      <w:rFonts w:eastAsiaTheme="majorEastAsia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D07B37"/>
    <w:pPr>
      <w:keepNext/>
      <w:keepLines/>
      <w:numPr>
        <w:ilvl w:val="1"/>
        <w:numId w:val="3"/>
      </w:numPr>
      <w:spacing w:before="40" w:after="0"/>
      <w:outlineLvl w:val="1"/>
    </w:pPr>
    <w:rPr>
      <w:rFonts w:eastAsiaTheme="majorEastAsia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D07B37"/>
    <w:pPr>
      <w:keepNext/>
      <w:keepLines/>
      <w:numPr>
        <w:ilvl w:val="2"/>
        <w:numId w:val="3"/>
      </w:numPr>
      <w:spacing w:before="40" w:after="0"/>
      <w:outlineLvl w:val="2"/>
    </w:pPr>
    <w:rPr>
      <w:rFonts w:eastAsiaTheme="majorEastAsia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D07B37"/>
    <w:pPr>
      <w:keepNext/>
      <w:keepLines/>
      <w:numPr>
        <w:ilvl w:val="3"/>
        <w:numId w:val="3"/>
      </w:numPr>
      <w:spacing w:before="40" w:after="0"/>
      <w:outlineLvl w:val="3"/>
    </w:pPr>
    <w:rPr>
      <w:rFonts w:eastAsiaTheme="majorEastAsia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D07B37"/>
    <w:pPr>
      <w:keepNext/>
      <w:keepLines/>
      <w:numPr>
        <w:ilvl w:val="4"/>
        <w:numId w:val="3"/>
      </w:numPr>
      <w:spacing w:before="40" w:after="0"/>
      <w:outlineLvl w:val="4"/>
    </w:pPr>
    <w:rPr>
      <w:rFonts w:eastAsiaTheme="majorEastAsia"/>
      <w:color w:val="2E74B5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D07B37"/>
    <w:pPr>
      <w:keepNext/>
      <w:keepLines/>
      <w:numPr>
        <w:ilvl w:val="5"/>
        <w:numId w:val="3"/>
      </w:numPr>
      <w:spacing w:before="40" w:after="0"/>
      <w:outlineLvl w:val="5"/>
    </w:pPr>
    <w:rPr>
      <w:rFonts w:eastAsiaTheme="majorEastAsia"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D07B37"/>
    <w:pPr>
      <w:keepNext/>
      <w:keepLines/>
      <w:numPr>
        <w:ilvl w:val="6"/>
        <w:numId w:val="3"/>
      </w:numPr>
      <w:spacing w:before="40" w:after="0"/>
      <w:outlineLvl w:val="6"/>
    </w:pPr>
    <w:rPr>
      <w:rFonts w:eastAsiaTheme="majorEastAsia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D07B37"/>
    <w:pPr>
      <w:keepNext/>
      <w:keepLines/>
      <w:numPr>
        <w:ilvl w:val="7"/>
        <w:numId w:val="3"/>
      </w:numPr>
      <w:spacing w:before="40" w:after="0"/>
      <w:outlineLvl w:val="7"/>
    </w:pPr>
    <w:rPr>
      <w:rFonts w:eastAsiaTheme="majorEastAsia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D07B37"/>
    <w:pPr>
      <w:keepNext/>
      <w:keepLines/>
      <w:numPr>
        <w:ilvl w:val="8"/>
        <w:numId w:val="3"/>
      </w:numPr>
      <w:spacing w:before="40" w:after="0"/>
      <w:outlineLvl w:val="8"/>
    </w:pPr>
    <w:rPr>
      <w:rFonts w:eastAsiaTheme="majorEastAsia"/>
      <w:i/>
      <w:iCs/>
      <w:color w:val="272727" w:themeColor="text1" w:themeTint="D8"/>
      <w:sz w:val="21"/>
      <w:szCs w:val="2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styleId="111111">
    <w:name w:val="Outline List 2"/>
    <w:basedOn w:val="Semlista"/>
    <w:uiPriority w:val="99"/>
    <w:semiHidden/>
    <w:unhideWhenUsed/>
    <w:rsid w:val="00D07B37"/>
    <w:pPr>
      <w:numPr>
        <w:numId w:val="1"/>
      </w:numPr>
    </w:pPr>
  </w:style>
  <w:style w:type="numbering" w:styleId="1ai">
    <w:name w:val="Outline List 1"/>
    <w:basedOn w:val="Semlista"/>
    <w:uiPriority w:val="99"/>
    <w:semiHidden/>
    <w:unhideWhenUsed/>
    <w:rsid w:val="00D07B37"/>
    <w:pPr>
      <w:numPr>
        <w:numId w:val="2"/>
      </w:numPr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D07B37"/>
    <w:rPr>
      <w:rFonts w:ascii="Arial" w:eastAsiaTheme="majorEastAsia" w:hAnsi="Arial" w:cs="Arial"/>
      <w:color w:val="2E74B5" w:themeColor="accent1" w:themeShade="BF"/>
      <w:sz w:val="32"/>
      <w:szCs w:val="32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D07B37"/>
    <w:rPr>
      <w:rFonts w:ascii="Arial" w:eastAsiaTheme="majorEastAsia" w:hAnsi="Arial" w:cs="Arial"/>
      <w:color w:val="2E74B5" w:themeColor="accent1" w:themeShade="BF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D07B37"/>
    <w:rPr>
      <w:rFonts w:ascii="Arial" w:eastAsiaTheme="majorEastAsia" w:hAnsi="Arial" w:cs="Arial"/>
      <w:color w:val="1F4D78" w:themeColor="accent1" w:themeShade="7F"/>
      <w:sz w:val="24"/>
      <w:szCs w:val="24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D07B37"/>
    <w:rPr>
      <w:rFonts w:ascii="Arial" w:eastAsiaTheme="majorEastAsia" w:hAnsi="Arial" w:cs="Arial"/>
      <w:i/>
      <w:iCs/>
      <w:color w:val="2E74B5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D07B37"/>
    <w:rPr>
      <w:rFonts w:ascii="Arial" w:eastAsiaTheme="majorEastAsia" w:hAnsi="Arial" w:cs="Arial"/>
      <w:color w:val="2E74B5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D07B37"/>
    <w:rPr>
      <w:rFonts w:ascii="Arial" w:eastAsiaTheme="majorEastAsia" w:hAnsi="Arial" w:cs="Arial"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D07B37"/>
    <w:rPr>
      <w:rFonts w:ascii="Arial" w:eastAsiaTheme="majorEastAsia" w:hAnsi="Arial" w:cs="Arial"/>
      <w:i/>
      <w:iCs/>
      <w:color w:val="1F4D78" w:themeColor="accent1" w:themeShade="7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D07B37"/>
    <w:rPr>
      <w:rFonts w:ascii="Arial" w:eastAsiaTheme="majorEastAsia" w:hAnsi="Arial" w:cs="Arial"/>
      <w:color w:val="272727" w:themeColor="text1" w:themeTint="D8"/>
      <w:sz w:val="21"/>
      <w:szCs w:val="21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D07B37"/>
    <w:rPr>
      <w:rFonts w:ascii="Arial" w:eastAsiaTheme="majorEastAsia" w:hAnsi="Arial" w:cs="Arial"/>
      <w:i/>
      <w:iCs/>
      <w:color w:val="272727" w:themeColor="text1" w:themeTint="D8"/>
      <w:sz w:val="21"/>
      <w:szCs w:val="21"/>
    </w:rPr>
  </w:style>
  <w:style w:type="numbering" w:styleId="ArtigoSeco">
    <w:name w:val="Outline List 3"/>
    <w:basedOn w:val="Semlista"/>
    <w:uiPriority w:val="99"/>
    <w:semiHidden/>
    <w:unhideWhenUsed/>
    <w:rsid w:val="00D07B37"/>
    <w:pPr>
      <w:numPr>
        <w:numId w:val="3"/>
      </w:numPr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D07B37"/>
    <w:pPr>
      <w:spacing w:after="0" w:line="240" w:lineRule="auto"/>
    </w:pPr>
    <w:rPr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7B37"/>
    <w:rPr>
      <w:rFonts w:ascii="Arial" w:hAnsi="Arial" w:cs="Arial"/>
      <w:sz w:val="18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D07B37"/>
  </w:style>
  <w:style w:type="paragraph" w:styleId="Textodebloco">
    <w:name w:val="Block Text"/>
    <w:basedOn w:val="Normal"/>
    <w:uiPriority w:val="99"/>
    <w:semiHidden/>
    <w:unhideWhenUsed/>
    <w:rsid w:val="00D07B37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eastAsiaTheme="minorEastAsia"/>
      <w:i/>
      <w:iCs/>
      <w:color w:val="5B9BD5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D07B37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D07B37"/>
    <w:rPr>
      <w:rFonts w:ascii="Arial" w:hAnsi="Arial" w:cs="Arial"/>
    </w:rPr>
  </w:style>
  <w:style w:type="paragraph" w:styleId="Corpodetexto2">
    <w:name w:val="Body Text 2"/>
    <w:basedOn w:val="Normal"/>
    <w:link w:val="Corpodetexto2Carter"/>
    <w:uiPriority w:val="99"/>
    <w:semiHidden/>
    <w:unhideWhenUsed/>
    <w:rsid w:val="00D07B37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D07B37"/>
    <w:rPr>
      <w:rFonts w:ascii="Arial" w:hAnsi="Arial" w:cs="Arial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D07B3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D07B37"/>
    <w:rPr>
      <w:rFonts w:ascii="Arial" w:hAnsi="Arial" w:cs="Arial"/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D07B37"/>
    <w:pPr>
      <w:spacing w:after="16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D07B37"/>
    <w:rPr>
      <w:rFonts w:ascii="Arial" w:hAnsi="Arial" w:cs="Arial"/>
    </w:r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07B37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07B37"/>
    <w:rPr>
      <w:rFonts w:ascii="Arial" w:hAnsi="Arial" w:cs="Arial"/>
    </w:rPr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D07B37"/>
    <w:pPr>
      <w:spacing w:after="16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D07B37"/>
    <w:rPr>
      <w:rFonts w:ascii="Arial" w:hAnsi="Arial" w:cs="Arial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D07B37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D07B37"/>
    <w:rPr>
      <w:rFonts w:ascii="Arial" w:hAnsi="Arial" w:cs="Arial"/>
    </w:rPr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D07B37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D07B37"/>
    <w:rPr>
      <w:rFonts w:ascii="Arial" w:hAnsi="Arial" w:cs="Arial"/>
      <w:sz w:val="16"/>
      <w:szCs w:val="16"/>
    </w:rPr>
  </w:style>
  <w:style w:type="character" w:styleId="TtulodoLivro">
    <w:name w:val="Book Title"/>
    <w:basedOn w:val="Tipodeletrapredefinidodopargrafo"/>
    <w:uiPriority w:val="33"/>
    <w:qFormat/>
    <w:rsid w:val="00D07B37"/>
    <w:rPr>
      <w:rFonts w:ascii="Arial" w:hAnsi="Arial" w:cs="Arial"/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07B3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D07B37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D07B37"/>
    <w:rPr>
      <w:rFonts w:ascii="Arial" w:hAnsi="Arial" w:cs="Arial"/>
    </w:rPr>
  </w:style>
  <w:style w:type="table" w:styleId="GrelhaColorida">
    <w:name w:val="Colorful Grid"/>
    <w:basedOn w:val="Tabelanormal"/>
    <w:uiPriority w:val="73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relhaColorida-Cor2">
    <w:name w:val="Colorful Grid Accent 2"/>
    <w:basedOn w:val="Tabelanormal"/>
    <w:uiPriority w:val="73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elhaColorida-Cor3">
    <w:name w:val="Colorful Grid Accent 3"/>
    <w:basedOn w:val="Tabelanormal"/>
    <w:uiPriority w:val="73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elhaColorida-Cor4">
    <w:name w:val="Colorful Grid Accent 4"/>
    <w:basedOn w:val="Tabelanormal"/>
    <w:uiPriority w:val="73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elhaColorida-Cor5">
    <w:name w:val="Colorful Grid Accent 5"/>
    <w:basedOn w:val="Tabelanormal"/>
    <w:uiPriority w:val="73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relhaColorida-Cor6">
    <w:name w:val="Colorful Grid Accent 6"/>
    <w:basedOn w:val="Tabelanormal"/>
    <w:uiPriority w:val="73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aColorida-Cor2">
    <w:name w:val="Colorful List Accent 2"/>
    <w:basedOn w:val="Tabelanormal"/>
    <w:uiPriority w:val="72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aColorida-Cor3">
    <w:name w:val="Colorful List Accent 3"/>
    <w:basedOn w:val="Tabelanormal"/>
    <w:uiPriority w:val="72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aColorida-Cor4">
    <w:name w:val="Colorful List Accent 4"/>
    <w:basedOn w:val="Tabelanormal"/>
    <w:uiPriority w:val="72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aColorida-Cor5">
    <w:name w:val="Colorful List Accent 5"/>
    <w:basedOn w:val="Tabelanormal"/>
    <w:uiPriority w:val="72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aColorida-Cor6">
    <w:name w:val="Colorful List Accent 6"/>
    <w:basedOn w:val="Tabelanormal"/>
    <w:uiPriority w:val="72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SombreadoColorido">
    <w:name w:val="Colorful Shading"/>
    <w:basedOn w:val="Tabelanormal"/>
    <w:uiPriority w:val="71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Tipodeletrapredefinidodopargrafo"/>
    <w:uiPriority w:val="99"/>
    <w:semiHidden/>
    <w:unhideWhenUsed/>
    <w:rsid w:val="00D07B37"/>
    <w:rPr>
      <w:rFonts w:ascii="Arial" w:hAnsi="Arial" w:cs="Arial"/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D07B37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D07B37"/>
    <w:rPr>
      <w:rFonts w:ascii="Arial" w:hAnsi="Arial" w:cs="Arial"/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D07B37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D07B37"/>
    <w:rPr>
      <w:rFonts w:ascii="Arial" w:hAnsi="Arial" w:cs="Arial"/>
      <w:b/>
      <w:bCs/>
      <w:sz w:val="20"/>
      <w:szCs w:val="20"/>
    </w:rPr>
  </w:style>
  <w:style w:type="table" w:styleId="ListaEscura">
    <w:name w:val="Dark List"/>
    <w:basedOn w:val="Tabelanormal"/>
    <w:uiPriority w:val="70"/>
    <w:semiHidden/>
    <w:unhideWhenUsed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semiHidden/>
    <w:unhideWhenUsed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ListaEscura-Cor2">
    <w:name w:val="Dark List Accent 2"/>
    <w:basedOn w:val="Tabelanormal"/>
    <w:uiPriority w:val="70"/>
    <w:semiHidden/>
    <w:unhideWhenUsed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ListaEscura-Cor3">
    <w:name w:val="Dark List Accent 3"/>
    <w:basedOn w:val="Tabelanormal"/>
    <w:uiPriority w:val="70"/>
    <w:semiHidden/>
    <w:unhideWhenUsed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ListaEscura-Cor4">
    <w:name w:val="Dark List Accent 4"/>
    <w:basedOn w:val="Tabelanormal"/>
    <w:uiPriority w:val="70"/>
    <w:semiHidden/>
    <w:unhideWhenUsed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ListaEscura-Cor5">
    <w:name w:val="Dark List Accent 5"/>
    <w:basedOn w:val="Tabelanormal"/>
    <w:uiPriority w:val="70"/>
    <w:semiHidden/>
    <w:unhideWhenUsed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ListaEscura-Cor6">
    <w:name w:val="Dark List Accent 6"/>
    <w:basedOn w:val="Tabelanormal"/>
    <w:uiPriority w:val="70"/>
    <w:semiHidden/>
    <w:unhideWhenUsed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D07B37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D07B37"/>
    <w:rPr>
      <w:rFonts w:ascii="Arial" w:hAnsi="Arial" w:cs="Arial"/>
    </w:r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D07B37"/>
    <w:pPr>
      <w:spacing w:after="0" w:line="240" w:lineRule="auto"/>
    </w:pPr>
    <w:rPr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D07B37"/>
    <w:rPr>
      <w:rFonts w:ascii="Arial" w:hAnsi="Arial" w:cs="Arial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D07B37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D07B37"/>
    <w:rPr>
      <w:rFonts w:ascii="Arial" w:hAnsi="Arial" w:cs="Arial"/>
    </w:rPr>
  </w:style>
  <w:style w:type="character" w:styleId="nfase">
    <w:name w:val="Emphasis"/>
    <w:basedOn w:val="Tipodeletrapredefinidodopargrafo"/>
    <w:uiPriority w:val="20"/>
    <w:qFormat/>
    <w:rsid w:val="00D07B37"/>
    <w:rPr>
      <w:rFonts w:ascii="Arial" w:hAnsi="Arial" w:cs="Arial"/>
      <w:i/>
      <w:iCs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D07B37"/>
    <w:rPr>
      <w:rFonts w:ascii="Arial" w:hAnsi="Arial" w:cs="Arial"/>
      <w:vertAlign w:val="superscript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D07B37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D07B37"/>
    <w:rPr>
      <w:rFonts w:ascii="Arial" w:hAnsi="Arial" w:cs="Arial"/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D07B37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eastAsiaTheme="majorEastAsia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D07B37"/>
    <w:pPr>
      <w:spacing w:after="0" w:line="240" w:lineRule="auto"/>
    </w:pPr>
    <w:rPr>
      <w:rFonts w:eastAsiaTheme="majorEastAsia"/>
      <w:sz w:val="20"/>
      <w:szCs w:val="20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D07B37"/>
    <w:rPr>
      <w:rFonts w:ascii="Arial" w:hAnsi="Arial" w:cs="Arial"/>
      <w:color w:val="954F72" w:themeColor="followedHyperlink"/>
      <w:u w:val="single"/>
    </w:rPr>
  </w:style>
  <w:style w:type="paragraph" w:styleId="Rodap">
    <w:name w:val="footer"/>
    <w:basedOn w:val="Normal"/>
    <w:link w:val="RodapCarter"/>
    <w:uiPriority w:val="99"/>
    <w:unhideWhenUsed/>
    <w:rsid w:val="00D07B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07B37"/>
    <w:rPr>
      <w:rFonts w:ascii="Arial" w:hAnsi="Arial" w:cs="Arial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D07B37"/>
    <w:rPr>
      <w:rFonts w:ascii="Arial" w:hAnsi="Arial" w:cs="Arial"/>
      <w:vertAlign w:val="superscript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D07B37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D07B37"/>
    <w:rPr>
      <w:rFonts w:ascii="Arial" w:hAnsi="Arial" w:cs="Arial"/>
      <w:sz w:val="20"/>
      <w:szCs w:val="20"/>
    </w:rPr>
  </w:style>
  <w:style w:type="table" w:styleId="TabeladeGrelha1Clara">
    <w:name w:val="Grid Table 1 Light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1">
    <w:name w:val="Grid Table 1 Light Accent 1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2">
    <w:name w:val="Grid Table 1 Light Accent 2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3">
    <w:name w:val="Grid Table 1 Light Accent 3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4">
    <w:name w:val="Grid Table 1 Light Accent 4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5">
    <w:name w:val="Grid Table 1 Light Accent 5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6">
    <w:name w:val="Grid Table 1 Light Accent 6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2">
    <w:name w:val="Grid Table 2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elha2-Destaque1">
    <w:name w:val="Grid Table 2 Accent 1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deGrelha2-Destaque2">
    <w:name w:val="Grid Table 2 Accent 2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elha2-Destaque3">
    <w:name w:val="Grid Table 2 Accent 3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elha2-Destaque4">
    <w:name w:val="Grid Table 2 Accent 4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Grelha2-Destaque5">
    <w:name w:val="Grid Table 2 Accent 5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Grelha2-Destaque6">
    <w:name w:val="Grid Table 2 Accent 6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elha3">
    <w:name w:val="Grid Table 3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elha3-Destaque1">
    <w:name w:val="Grid Table 3 Accent 1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deGrelha3-Destaque2">
    <w:name w:val="Grid Table 3 Accent 2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deGrelha3-Destaque3">
    <w:name w:val="Grid Table 3 Accent 3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deGrelha3-Destaque4">
    <w:name w:val="Grid Table 3 Accent 4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deGrelha3-Destaque5">
    <w:name w:val="Grid Table 3 Accent 5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deGrelha3-Destaque6">
    <w:name w:val="Grid Table 3 Accent 6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deGrelha4">
    <w:name w:val="Grid Table 4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elha4-Destaque1">
    <w:name w:val="Grid Table 4 Accent 1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deGrelha4-Destaque2">
    <w:name w:val="Grid Table 4 Accent 2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elha4-Destaque3">
    <w:name w:val="Grid Table 4 Accent 3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elha4-Destaque4">
    <w:name w:val="Grid Table 4 Accent 4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Grelha4-Destaque5">
    <w:name w:val="Grid Table 4 Accent 5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Grelha4-Destaque6">
    <w:name w:val="Grid Table 4 Accent 6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elha5Escura">
    <w:name w:val="Grid Table 5 Dark"/>
    <w:basedOn w:val="Tabelanormal"/>
    <w:uiPriority w:val="50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elha5Escura-Destaque1">
    <w:name w:val="Grid Table 5 Dark Accent 1"/>
    <w:basedOn w:val="Tabelanormal"/>
    <w:uiPriority w:val="50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deGrelha5Escura-Destaque2">
    <w:name w:val="Grid Table 5 Dark Accent 2"/>
    <w:basedOn w:val="Tabelanormal"/>
    <w:uiPriority w:val="50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deGrelha5Escura-Destaque3">
    <w:name w:val="Grid Table 5 Dark Accent 3"/>
    <w:basedOn w:val="Tabelanormal"/>
    <w:uiPriority w:val="50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deGrelha5Escura-Destaque4">
    <w:name w:val="Grid Table 5 Dark Accent 4"/>
    <w:basedOn w:val="Tabelanormal"/>
    <w:uiPriority w:val="50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deGrelha5Escura-Destaque5">
    <w:name w:val="Grid Table 5 Dark Accent 5"/>
    <w:basedOn w:val="Tabelanormal"/>
    <w:uiPriority w:val="50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deGrelha5Escura-Destaque6">
    <w:name w:val="Grid Table 5 Dark Accent 6"/>
    <w:basedOn w:val="Tabelanormal"/>
    <w:uiPriority w:val="50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deGrelha6Colorida">
    <w:name w:val="Grid Table 6 Colorful"/>
    <w:basedOn w:val="Tabelanormal"/>
    <w:uiPriority w:val="51"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elha6Colorida-Destaque1">
    <w:name w:val="Grid Table 6 Colorful Accent 1"/>
    <w:basedOn w:val="Tabelanormal"/>
    <w:uiPriority w:val="51"/>
    <w:rsid w:val="00D07B37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deGrelha6Colorida-Destaque2">
    <w:name w:val="Grid Table 6 Colorful Accent 2"/>
    <w:basedOn w:val="Tabelanormal"/>
    <w:uiPriority w:val="51"/>
    <w:rsid w:val="00D07B37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elha6Colorida-Destaque3">
    <w:name w:val="Grid Table 6 Colorful Accent 3"/>
    <w:basedOn w:val="Tabelanormal"/>
    <w:uiPriority w:val="51"/>
    <w:rsid w:val="00D07B37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elha6Colorida-Destaque4">
    <w:name w:val="Grid Table 6 Colorful Accent 4"/>
    <w:basedOn w:val="Tabelanormal"/>
    <w:uiPriority w:val="51"/>
    <w:rsid w:val="00D07B37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Grelha6Colorida-Destaque5">
    <w:name w:val="Grid Table 6 Colorful Accent 5"/>
    <w:basedOn w:val="Tabelanormal"/>
    <w:uiPriority w:val="51"/>
    <w:rsid w:val="00D07B37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Grelha6Colorida-Destaque6">
    <w:name w:val="Grid Table 6 Colorful Accent 6"/>
    <w:basedOn w:val="Tabelanormal"/>
    <w:uiPriority w:val="51"/>
    <w:rsid w:val="00D07B37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elha7Colorida">
    <w:name w:val="Grid Table 7 Colorful"/>
    <w:basedOn w:val="Tabelanormal"/>
    <w:uiPriority w:val="52"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elha7Colorida-Destaque1">
    <w:name w:val="Grid Table 7 Colorful Accent 1"/>
    <w:basedOn w:val="Tabelanormal"/>
    <w:uiPriority w:val="52"/>
    <w:rsid w:val="00D07B37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deGrelha7Colorida-Destaque2">
    <w:name w:val="Grid Table 7 Colorful Accent 2"/>
    <w:basedOn w:val="Tabelanormal"/>
    <w:uiPriority w:val="52"/>
    <w:rsid w:val="00D07B37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deGrelha7Colorida-Destaque3">
    <w:name w:val="Grid Table 7 Colorful Accent 3"/>
    <w:basedOn w:val="Tabelanormal"/>
    <w:uiPriority w:val="52"/>
    <w:rsid w:val="00D07B37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deGrelha7Colorida-Destaque4">
    <w:name w:val="Grid Table 7 Colorful Accent 4"/>
    <w:basedOn w:val="Tabelanormal"/>
    <w:uiPriority w:val="52"/>
    <w:rsid w:val="00D07B37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deGrelha7Colorida-Destaque5">
    <w:name w:val="Grid Table 7 Colorful Accent 5"/>
    <w:basedOn w:val="Tabelanormal"/>
    <w:uiPriority w:val="52"/>
    <w:rsid w:val="00D07B37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deGrelha7Colorida-Destaque6">
    <w:name w:val="Grid Table 7 Colorful Accent 6"/>
    <w:basedOn w:val="Tabelanormal"/>
    <w:uiPriority w:val="52"/>
    <w:rsid w:val="00D07B37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Cabealho">
    <w:name w:val="header"/>
    <w:basedOn w:val="Normal"/>
    <w:link w:val="CabealhoCarter"/>
    <w:uiPriority w:val="99"/>
    <w:unhideWhenUsed/>
    <w:rsid w:val="00D07B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07B37"/>
    <w:rPr>
      <w:rFonts w:ascii="Arial" w:hAnsi="Arial" w:cs="Arial"/>
    </w:rPr>
  </w:style>
  <w:style w:type="character" w:styleId="AcrnimoHTML">
    <w:name w:val="HTML Acronym"/>
    <w:basedOn w:val="Tipodeletrapredefinidodopargrafo"/>
    <w:uiPriority w:val="99"/>
    <w:semiHidden/>
    <w:unhideWhenUsed/>
    <w:rsid w:val="00D07B37"/>
    <w:rPr>
      <w:rFonts w:ascii="Arial" w:hAnsi="Arial" w:cs="Arial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D07B37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D07B37"/>
    <w:rPr>
      <w:rFonts w:ascii="Arial" w:hAnsi="Arial" w:cs="Arial"/>
      <w:i/>
      <w:iCs/>
    </w:rPr>
  </w:style>
  <w:style w:type="character" w:styleId="CitaoHTML">
    <w:name w:val="HTML Cite"/>
    <w:basedOn w:val="Tipodeletrapredefinidodopargrafo"/>
    <w:uiPriority w:val="99"/>
    <w:semiHidden/>
    <w:unhideWhenUsed/>
    <w:rsid w:val="00D07B37"/>
    <w:rPr>
      <w:rFonts w:ascii="Arial" w:hAnsi="Arial" w:cs="Arial"/>
      <w:i/>
      <w:iCs/>
    </w:rPr>
  </w:style>
  <w:style w:type="character" w:styleId="CdigoHTML">
    <w:name w:val="HTML Code"/>
    <w:basedOn w:val="Tipodeletrapredefinidodopargrafo"/>
    <w:uiPriority w:val="99"/>
    <w:semiHidden/>
    <w:unhideWhenUsed/>
    <w:rsid w:val="00D07B37"/>
    <w:rPr>
      <w:rFonts w:ascii="Arial" w:hAnsi="Arial" w:cs="Arial"/>
      <w:sz w:val="20"/>
      <w:szCs w:val="20"/>
    </w:rPr>
  </w:style>
  <w:style w:type="character" w:styleId="DefinioHTML">
    <w:name w:val="HTML Definition"/>
    <w:basedOn w:val="Tipodeletrapredefinidodopargrafo"/>
    <w:uiPriority w:val="99"/>
    <w:semiHidden/>
    <w:unhideWhenUsed/>
    <w:rsid w:val="00D07B37"/>
    <w:rPr>
      <w:rFonts w:ascii="Arial" w:hAnsi="Arial" w:cs="Arial"/>
      <w:i/>
      <w:iCs/>
    </w:rPr>
  </w:style>
  <w:style w:type="character" w:styleId="TecladoHTML">
    <w:name w:val="HTML Keyboard"/>
    <w:basedOn w:val="Tipodeletrapredefinidodopargrafo"/>
    <w:uiPriority w:val="99"/>
    <w:semiHidden/>
    <w:unhideWhenUsed/>
    <w:rsid w:val="00D07B37"/>
    <w:rPr>
      <w:rFonts w:ascii="Arial" w:hAnsi="Arial" w:cs="Arial"/>
      <w:sz w:val="20"/>
      <w:szCs w:val="20"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D07B37"/>
    <w:pPr>
      <w:spacing w:after="0" w:line="240" w:lineRule="auto"/>
    </w:pPr>
    <w:rPr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D07B37"/>
    <w:rPr>
      <w:rFonts w:ascii="Arial" w:hAnsi="Arial" w:cs="Arial"/>
      <w:sz w:val="20"/>
      <w:szCs w:val="20"/>
    </w:rPr>
  </w:style>
  <w:style w:type="character" w:styleId="ExemplodeHTML">
    <w:name w:val="HTML Sample"/>
    <w:basedOn w:val="Tipodeletrapredefinidodopargrafo"/>
    <w:uiPriority w:val="99"/>
    <w:semiHidden/>
    <w:unhideWhenUsed/>
    <w:rsid w:val="00D07B37"/>
    <w:rPr>
      <w:rFonts w:ascii="Arial" w:hAnsi="Arial" w:cs="Arial"/>
      <w:sz w:val="24"/>
      <w:szCs w:val="24"/>
    </w:rPr>
  </w:style>
  <w:style w:type="character" w:styleId="MquinadeescreverHTML">
    <w:name w:val="HTML Typewriter"/>
    <w:basedOn w:val="Tipodeletrapredefinidodopargrafo"/>
    <w:uiPriority w:val="99"/>
    <w:semiHidden/>
    <w:unhideWhenUsed/>
    <w:rsid w:val="00D07B37"/>
    <w:rPr>
      <w:rFonts w:ascii="Arial" w:hAnsi="Arial" w:cs="Arial"/>
      <w:sz w:val="20"/>
      <w:szCs w:val="20"/>
    </w:rPr>
  </w:style>
  <w:style w:type="character" w:styleId="VarivelHTML">
    <w:name w:val="HTML Variable"/>
    <w:basedOn w:val="Tipodeletrapredefinidodopargrafo"/>
    <w:uiPriority w:val="99"/>
    <w:semiHidden/>
    <w:unhideWhenUsed/>
    <w:rsid w:val="00D07B37"/>
    <w:rPr>
      <w:rFonts w:ascii="Arial" w:hAnsi="Arial" w:cs="Arial"/>
      <w:i/>
      <w:iCs/>
    </w:rPr>
  </w:style>
  <w:style w:type="character" w:styleId="Hiperligao">
    <w:name w:val="Hyperlink"/>
    <w:basedOn w:val="Tipodeletrapredefinidodopargrafo"/>
    <w:uiPriority w:val="99"/>
    <w:unhideWhenUsed/>
    <w:rsid w:val="00D07B37"/>
    <w:rPr>
      <w:rFonts w:ascii="Arial" w:hAnsi="Arial" w:cs="Arial"/>
      <w:color w:val="0563C1" w:themeColor="hyperlink"/>
      <w:u w:val="single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D07B37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D07B37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D07B37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D07B37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D07B37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D07B37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D07B37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D07B37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D07B37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D07B37"/>
    <w:rPr>
      <w:rFonts w:eastAsiaTheme="majorEastAsia"/>
      <w:b/>
      <w:bCs/>
    </w:rPr>
  </w:style>
  <w:style w:type="character" w:styleId="nfaseIntensa">
    <w:name w:val="Intense Emphasis"/>
    <w:basedOn w:val="Tipodeletrapredefinidodopargrafo"/>
    <w:uiPriority w:val="21"/>
    <w:qFormat/>
    <w:rsid w:val="00D07B37"/>
    <w:rPr>
      <w:rFonts w:ascii="Arial" w:hAnsi="Arial" w:cs="Arial"/>
      <w:i/>
      <w:iCs/>
      <w:color w:val="5B9BD5" w:themeColor="accen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D07B3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D07B37"/>
    <w:rPr>
      <w:rFonts w:ascii="Arial" w:hAnsi="Arial" w:cs="Arial"/>
      <w:i/>
      <w:iCs/>
      <w:color w:val="5B9BD5" w:themeColor="accent1"/>
    </w:rPr>
  </w:style>
  <w:style w:type="character" w:styleId="RefernciaIntensa">
    <w:name w:val="Intense Reference"/>
    <w:basedOn w:val="Tipodeletrapredefinidodopargrafo"/>
    <w:uiPriority w:val="32"/>
    <w:qFormat/>
    <w:rsid w:val="00D07B37"/>
    <w:rPr>
      <w:rFonts w:ascii="Arial" w:hAnsi="Arial" w:cs="Arial"/>
      <w:b/>
      <w:bCs/>
      <w:smallCaps/>
      <w:color w:val="5B9BD5" w:themeColor="accent1"/>
      <w:spacing w:val="5"/>
    </w:rPr>
  </w:style>
  <w:style w:type="table" w:styleId="GrelhaClara">
    <w:name w:val="Light Grid"/>
    <w:basedOn w:val="Tabelanormal"/>
    <w:uiPriority w:val="62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GrelhaClara-Cor2">
    <w:name w:val="Light Grid Accent 2"/>
    <w:basedOn w:val="Tabelanormal"/>
    <w:uiPriority w:val="62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GrelhaClara-Cor3">
    <w:name w:val="Light Grid Accent 3"/>
    <w:basedOn w:val="Tabelanormal"/>
    <w:uiPriority w:val="62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GrelhaClara-Cor4">
    <w:name w:val="Light Grid Accent 4"/>
    <w:basedOn w:val="Tabelanormal"/>
    <w:uiPriority w:val="62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GrelhaClara-Cor5">
    <w:name w:val="Light Grid Accent 5"/>
    <w:basedOn w:val="Tabelanormal"/>
    <w:uiPriority w:val="62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GrelhaClara-Cor6">
    <w:name w:val="Light Grid Accent 6"/>
    <w:basedOn w:val="Tabelanormal"/>
    <w:uiPriority w:val="62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staClara-Cor2">
    <w:name w:val="Light List Accent 2"/>
    <w:basedOn w:val="Tabelanormal"/>
    <w:uiPriority w:val="61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staClara-Cor3">
    <w:name w:val="Light List Accent 3"/>
    <w:basedOn w:val="Tabelanormal"/>
    <w:uiPriority w:val="61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staClara-Cor4">
    <w:name w:val="Light List Accent 4"/>
    <w:basedOn w:val="Tabelanormal"/>
    <w:uiPriority w:val="61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staClara-Cor5">
    <w:name w:val="Light List Accent 5"/>
    <w:basedOn w:val="Tabelanormal"/>
    <w:uiPriority w:val="61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staClara-Cor6">
    <w:name w:val="Light List Accent 6"/>
    <w:basedOn w:val="Tabelanormal"/>
    <w:uiPriority w:val="61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SombreadoClaro">
    <w:name w:val="Light Shading"/>
    <w:basedOn w:val="Tabelanormal"/>
    <w:uiPriority w:val="60"/>
    <w:semiHidden/>
    <w:unhideWhenUsed/>
    <w:rsid w:val="00D07B3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semiHidden/>
    <w:unhideWhenUsed/>
    <w:rsid w:val="00D07B37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SombreadoClaro-Cor2">
    <w:name w:val="Light Shading Accent 2"/>
    <w:basedOn w:val="Tabelanormal"/>
    <w:uiPriority w:val="60"/>
    <w:semiHidden/>
    <w:unhideWhenUsed/>
    <w:rsid w:val="00D07B37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ombreadoClaro-Cor3">
    <w:name w:val="Light Shading Accent 3"/>
    <w:basedOn w:val="Tabelanormal"/>
    <w:uiPriority w:val="60"/>
    <w:semiHidden/>
    <w:unhideWhenUsed/>
    <w:rsid w:val="00D07B37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ombreadoClaro-Cor4">
    <w:name w:val="Light Shading Accent 4"/>
    <w:basedOn w:val="Tabelanormal"/>
    <w:uiPriority w:val="60"/>
    <w:semiHidden/>
    <w:unhideWhenUsed/>
    <w:rsid w:val="00D07B37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ombreadoClaro-Cor5">
    <w:name w:val="Light Shading Accent 5"/>
    <w:basedOn w:val="Tabelanormal"/>
    <w:uiPriority w:val="60"/>
    <w:semiHidden/>
    <w:unhideWhenUsed/>
    <w:rsid w:val="00D07B37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SombreadoClaro-Cor6">
    <w:name w:val="Light Shading Accent 6"/>
    <w:basedOn w:val="Tabelanormal"/>
    <w:uiPriority w:val="60"/>
    <w:semiHidden/>
    <w:unhideWhenUsed/>
    <w:rsid w:val="00D07B37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Nmerodelinha">
    <w:name w:val="line number"/>
    <w:basedOn w:val="Tipodeletrapredefinidodopargrafo"/>
    <w:uiPriority w:val="99"/>
    <w:semiHidden/>
    <w:unhideWhenUsed/>
    <w:rsid w:val="00D07B37"/>
    <w:rPr>
      <w:rFonts w:ascii="Arial" w:hAnsi="Arial" w:cs="Arial"/>
    </w:rPr>
  </w:style>
  <w:style w:type="paragraph" w:styleId="Lista">
    <w:name w:val="List"/>
    <w:basedOn w:val="Normal"/>
    <w:uiPriority w:val="99"/>
    <w:semiHidden/>
    <w:unhideWhenUsed/>
    <w:rsid w:val="00D07B37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D07B37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D07B37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D07B37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D07B37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D07B37"/>
    <w:pPr>
      <w:numPr>
        <w:numId w:val="4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D07B37"/>
    <w:pPr>
      <w:numPr>
        <w:numId w:val="5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D07B37"/>
    <w:pPr>
      <w:numPr>
        <w:numId w:val="6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D07B37"/>
    <w:pPr>
      <w:numPr>
        <w:numId w:val="7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D07B37"/>
    <w:pPr>
      <w:numPr>
        <w:numId w:val="8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D07B37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D07B37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D07B37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D07B37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D07B37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D07B37"/>
    <w:pPr>
      <w:numPr>
        <w:numId w:val="9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D07B37"/>
    <w:pPr>
      <w:numPr>
        <w:numId w:val="10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D07B37"/>
    <w:pPr>
      <w:numPr>
        <w:numId w:val="11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D07B37"/>
    <w:pPr>
      <w:numPr>
        <w:numId w:val="12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D07B37"/>
    <w:pPr>
      <w:numPr>
        <w:numId w:val="13"/>
      </w:numPr>
      <w:contextualSpacing/>
    </w:pPr>
  </w:style>
  <w:style w:type="paragraph" w:styleId="PargrafodaLista">
    <w:name w:val="List Paragraph"/>
    <w:basedOn w:val="Normal"/>
    <w:uiPriority w:val="34"/>
    <w:qFormat/>
    <w:rsid w:val="00D07B37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Destaque1">
    <w:name w:val="List Table 1 Light Accent 1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deLista1Clara-Destaque2">
    <w:name w:val="List Table 1 Light Accent 2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Lista1Clara-Destaque3">
    <w:name w:val="List Table 1 Light Accent 3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Lista1Clara-Destaque4">
    <w:name w:val="List Table 1 Light Accent 4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Lista1Clara-Destaque5">
    <w:name w:val="List Table 1 Light Accent 5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Lista1Clara-Destaque6">
    <w:name w:val="List Table 1 Light Accent 6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Lista2">
    <w:name w:val="List Table 2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Destaque1">
    <w:name w:val="List Table 2 Accent 1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deLista2-Destaque2">
    <w:name w:val="List Table 2 Accent 2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Lista2-Destaque3">
    <w:name w:val="List Table 2 Accent 3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Lista2-Destaque4">
    <w:name w:val="List Table 2 Accent 4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Lista2-Destaque5">
    <w:name w:val="List Table 2 Accent 5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Lista2-Destaque6">
    <w:name w:val="List Table 2 Accent 6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Lista3">
    <w:name w:val="List Table 3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Destaque1">
    <w:name w:val="List Table 3 Accent 1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deLista3-Destaque2">
    <w:name w:val="List Table 3 Accent 2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deLista3-Destaque3">
    <w:name w:val="List Table 3 Accent 3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deLista3-Destaque4">
    <w:name w:val="List Table 3 Accent 4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deLista3-Destaque5">
    <w:name w:val="List Table 3 Accent 5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deLista3-Destaque6">
    <w:name w:val="List Table 3 Accent 6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Destaque1">
    <w:name w:val="List Table 4 Accent 1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deLista4-Destaque2">
    <w:name w:val="List Table 4 Accent 2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Lista4-Destaque3">
    <w:name w:val="List Table 4 Accent 3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Lista4-Destaque4">
    <w:name w:val="List Table 4 Accent 4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Lista4-Destaque5">
    <w:name w:val="List Table 4 Accent 5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Lista4-Destaque6">
    <w:name w:val="List Table 4 Accent 6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Destaque1">
    <w:name w:val="List Table 5 Dark Accent 1"/>
    <w:basedOn w:val="Tabelanormal"/>
    <w:uiPriority w:val="50"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Destaque2">
    <w:name w:val="List Table 5 Dark Accent 2"/>
    <w:basedOn w:val="Tabelanormal"/>
    <w:uiPriority w:val="50"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Destaque3">
    <w:name w:val="List Table 5 Dark Accent 3"/>
    <w:basedOn w:val="Tabelanormal"/>
    <w:uiPriority w:val="50"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Destaque4">
    <w:name w:val="List Table 5 Dark Accent 4"/>
    <w:basedOn w:val="Tabelanormal"/>
    <w:uiPriority w:val="50"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Destaque5">
    <w:name w:val="List Table 5 Dark Accent 5"/>
    <w:basedOn w:val="Tabelanormal"/>
    <w:uiPriority w:val="50"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Destaque6">
    <w:name w:val="List Table 5 Dark Accent 6"/>
    <w:basedOn w:val="Tabelanormal"/>
    <w:uiPriority w:val="50"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Destaque1">
    <w:name w:val="List Table 6 Colorful Accent 1"/>
    <w:basedOn w:val="Tabelanormal"/>
    <w:uiPriority w:val="51"/>
    <w:rsid w:val="00D07B37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deLista6Colorida-Destaque2">
    <w:name w:val="List Table 6 Colorful Accent 2"/>
    <w:basedOn w:val="Tabelanormal"/>
    <w:uiPriority w:val="51"/>
    <w:rsid w:val="00D07B37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Lista6Colorida-Destaque3">
    <w:name w:val="List Table 6 Colorful Accent 3"/>
    <w:basedOn w:val="Tabelanormal"/>
    <w:uiPriority w:val="51"/>
    <w:rsid w:val="00D07B37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Lista6Colorida-Destaque4">
    <w:name w:val="List Table 6 Colorful Accent 4"/>
    <w:basedOn w:val="Tabelanormal"/>
    <w:uiPriority w:val="51"/>
    <w:rsid w:val="00D07B37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Lista6Colorida-Destaque5">
    <w:name w:val="List Table 6 Colorful Accent 5"/>
    <w:basedOn w:val="Tabelanormal"/>
    <w:uiPriority w:val="51"/>
    <w:rsid w:val="00D07B37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Lista6Colorida-Destaque6">
    <w:name w:val="List Table 6 Colorful Accent 6"/>
    <w:basedOn w:val="Tabelanormal"/>
    <w:uiPriority w:val="51"/>
    <w:rsid w:val="00D07B37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Destaque1">
    <w:name w:val="List Table 7 Colorful Accent 1"/>
    <w:basedOn w:val="Tabelanormal"/>
    <w:uiPriority w:val="52"/>
    <w:rsid w:val="00D07B37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Destaque2">
    <w:name w:val="List Table 7 Colorful Accent 2"/>
    <w:basedOn w:val="Tabelanormal"/>
    <w:uiPriority w:val="52"/>
    <w:rsid w:val="00D07B37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Destaque3">
    <w:name w:val="List Table 7 Colorful Accent 3"/>
    <w:basedOn w:val="Tabelanormal"/>
    <w:uiPriority w:val="52"/>
    <w:rsid w:val="00D07B37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Destaque4">
    <w:name w:val="List Table 7 Colorful Accent 4"/>
    <w:basedOn w:val="Tabelanormal"/>
    <w:uiPriority w:val="52"/>
    <w:rsid w:val="00D07B37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Destaque5">
    <w:name w:val="List Table 7 Colorful Accent 5"/>
    <w:basedOn w:val="Tabelanormal"/>
    <w:uiPriority w:val="52"/>
    <w:rsid w:val="00D07B37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Destaque6">
    <w:name w:val="List Table 7 Colorful Accent 6"/>
    <w:basedOn w:val="Tabelanormal"/>
    <w:uiPriority w:val="52"/>
    <w:rsid w:val="00D07B37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arter"/>
    <w:uiPriority w:val="99"/>
    <w:semiHidden/>
    <w:unhideWhenUsed/>
    <w:rsid w:val="00D07B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Arial" w:hAnsi="Arial" w:cs="Arial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D07B37"/>
    <w:rPr>
      <w:rFonts w:ascii="Arial" w:hAnsi="Arial" w:cs="Arial"/>
      <w:sz w:val="20"/>
      <w:szCs w:val="20"/>
    </w:rPr>
  </w:style>
  <w:style w:type="table" w:styleId="GrelhaMdia1">
    <w:name w:val="Medium Grid 1"/>
    <w:basedOn w:val="Tabelanormal"/>
    <w:uiPriority w:val="67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relhaMdia1-Cor2">
    <w:name w:val="Medium Grid 1 Accent 2"/>
    <w:basedOn w:val="Tabelanormal"/>
    <w:uiPriority w:val="67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elhaMdia1-Cor3">
    <w:name w:val="Medium Grid 1 Accent 3"/>
    <w:basedOn w:val="Tabelanormal"/>
    <w:uiPriority w:val="67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elhaMdia1-Cor4">
    <w:name w:val="Medium Grid 1 Accent 4"/>
    <w:basedOn w:val="Tabelanormal"/>
    <w:uiPriority w:val="67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elhaMdia1-Cor5">
    <w:name w:val="Medium Grid 1 Accent 5"/>
    <w:basedOn w:val="Tabelanormal"/>
    <w:uiPriority w:val="67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relhaMdia1-Cor6">
    <w:name w:val="Medium Grid 1 Accent 6"/>
    <w:basedOn w:val="Tabelanormal"/>
    <w:uiPriority w:val="67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relhaMdia2">
    <w:name w:val="Medium Grid 2"/>
    <w:basedOn w:val="Tabelanormal"/>
    <w:uiPriority w:val="68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GrelhaMdia3-Cor2">
    <w:name w:val="Medium Grid 3 Accent 2"/>
    <w:basedOn w:val="Tabelanormal"/>
    <w:uiPriority w:val="69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relhaMdia3-Cor3">
    <w:name w:val="Medium Grid 3 Accent 3"/>
    <w:basedOn w:val="Tabelanormal"/>
    <w:uiPriority w:val="69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relhaMdia3-Cor4">
    <w:name w:val="Medium Grid 3 Accent 4"/>
    <w:basedOn w:val="Tabelanormal"/>
    <w:uiPriority w:val="69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relhaMdia3-Cor5">
    <w:name w:val="Medium Grid 3 Accent 5"/>
    <w:basedOn w:val="Tabelanormal"/>
    <w:uiPriority w:val="69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GrelhaMdia3-Cor6">
    <w:name w:val="Medium Grid 3 Accent 6"/>
    <w:basedOn w:val="Tabelanormal"/>
    <w:uiPriority w:val="69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ListaMdia1-Cor2">
    <w:name w:val="Medium List 1 Accent 2"/>
    <w:basedOn w:val="Tabelanormal"/>
    <w:uiPriority w:val="65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ListaMdia1-Cor3">
    <w:name w:val="Medium List 1 Accent 3"/>
    <w:basedOn w:val="Tabelanormal"/>
    <w:uiPriority w:val="65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ListaMdia1-Cor4">
    <w:name w:val="Medium List 1 Accent 4"/>
    <w:basedOn w:val="Tabelanormal"/>
    <w:uiPriority w:val="65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ListaMdia1-Cor5">
    <w:name w:val="Medium List 1 Accent 5"/>
    <w:basedOn w:val="Tabelanormal"/>
    <w:uiPriority w:val="65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ListaMdia1-Cor6">
    <w:name w:val="Medium List 1 Accent 6"/>
    <w:basedOn w:val="Tabelanormal"/>
    <w:uiPriority w:val="65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dio1">
    <w:name w:val="Medium Shading 1"/>
    <w:basedOn w:val="Tabelanormal"/>
    <w:uiPriority w:val="63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D07B3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D07B37"/>
    <w:rPr>
      <w:rFonts w:ascii="Arial" w:eastAsiaTheme="majorEastAsia" w:hAnsi="Arial" w:cs="Arial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D07B37"/>
    <w:pPr>
      <w:spacing w:after="0" w:line="240" w:lineRule="auto"/>
    </w:pPr>
    <w:rPr>
      <w:rFonts w:ascii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D07B37"/>
    <w:rPr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D07B37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D07B37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D07B37"/>
    <w:rPr>
      <w:rFonts w:ascii="Arial" w:hAnsi="Arial" w:cs="Arial"/>
    </w:rPr>
  </w:style>
  <w:style w:type="character" w:styleId="Nmerodepgina">
    <w:name w:val="page number"/>
    <w:basedOn w:val="Tipodeletrapredefinidodopargrafo"/>
    <w:uiPriority w:val="99"/>
    <w:semiHidden/>
    <w:unhideWhenUsed/>
    <w:rsid w:val="00D07B37"/>
    <w:rPr>
      <w:rFonts w:ascii="Arial" w:hAnsi="Arial" w:cs="Arial"/>
    </w:rPr>
  </w:style>
  <w:style w:type="character" w:styleId="TextodoMarcadordePosio">
    <w:name w:val="Placeholder Text"/>
    <w:basedOn w:val="Tipodeletrapredefinidodopargrafo"/>
    <w:uiPriority w:val="99"/>
    <w:semiHidden/>
    <w:rsid w:val="00D07B37"/>
    <w:rPr>
      <w:rFonts w:ascii="Arial" w:hAnsi="Arial" w:cs="Arial"/>
      <w:color w:val="808080"/>
    </w:rPr>
  </w:style>
  <w:style w:type="table" w:styleId="SimplesTabela1">
    <w:name w:val="Plain Table 1"/>
    <w:basedOn w:val="Tabelanormal"/>
    <w:uiPriority w:val="41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implesTabela2">
    <w:name w:val="Plain Table 2"/>
    <w:basedOn w:val="Tabelanormal"/>
    <w:uiPriority w:val="42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SimplesTabela3">
    <w:name w:val="Plain Table 3"/>
    <w:basedOn w:val="Tabelanormal"/>
    <w:uiPriority w:val="43"/>
    <w:rsid w:val="00D07B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4"/>
    <w:rsid w:val="00D07B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D07B3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imples">
    <w:name w:val="Plain Text"/>
    <w:basedOn w:val="Normal"/>
    <w:link w:val="TextosimplesCarter"/>
    <w:uiPriority w:val="99"/>
    <w:semiHidden/>
    <w:unhideWhenUsed/>
    <w:rsid w:val="00D07B37"/>
    <w:pPr>
      <w:spacing w:after="0" w:line="240" w:lineRule="auto"/>
    </w:pPr>
    <w:rPr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D07B37"/>
    <w:rPr>
      <w:rFonts w:ascii="Arial" w:hAnsi="Arial" w:cs="Arial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D07B3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D07B37"/>
    <w:rPr>
      <w:rFonts w:ascii="Arial" w:hAnsi="Arial" w:cs="Arial"/>
      <w:i/>
      <w:iCs/>
      <w:color w:val="404040" w:themeColor="text1" w:themeTint="BF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D07B37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D07B37"/>
    <w:rPr>
      <w:rFonts w:ascii="Arial" w:hAnsi="Arial" w:cs="Arial"/>
    </w:rPr>
  </w:style>
  <w:style w:type="paragraph" w:styleId="Assinatura">
    <w:name w:val="Signature"/>
    <w:basedOn w:val="Normal"/>
    <w:link w:val="AssinaturaCarter"/>
    <w:uiPriority w:val="99"/>
    <w:semiHidden/>
    <w:unhideWhenUsed/>
    <w:rsid w:val="00D07B37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D07B37"/>
    <w:rPr>
      <w:rFonts w:ascii="Arial" w:hAnsi="Arial" w:cs="Arial"/>
    </w:rPr>
  </w:style>
  <w:style w:type="character" w:styleId="Forte">
    <w:name w:val="Strong"/>
    <w:basedOn w:val="Tipodeletrapredefinidodopargrafo"/>
    <w:uiPriority w:val="22"/>
    <w:qFormat/>
    <w:rsid w:val="00D07B37"/>
    <w:rPr>
      <w:rFonts w:ascii="Arial" w:hAnsi="Arial" w:cs="Arial"/>
      <w:b/>
      <w:bCs/>
    </w:rPr>
  </w:style>
  <w:style w:type="paragraph" w:styleId="Subttulo">
    <w:name w:val="Subtitle"/>
    <w:basedOn w:val="Normal"/>
    <w:next w:val="Normal"/>
    <w:link w:val="SubttuloCarter"/>
    <w:uiPriority w:val="11"/>
    <w:qFormat/>
    <w:rsid w:val="00D07B3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D07B37"/>
    <w:rPr>
      <w:rFonts w:ascii="Arial" w:eastAsiaTheme="minorEastAsia" w:hAnsi="Arial" w:cs="Arial"/>
      <w:color w:val="5A5A5A" w:themeColor="text1" w:themeTint="A5"/>
      <w:spacing w:val="15"/>
    </w:rPr>
  </w:style>
  <w:style w:type="character" w:styleId="nfaseDiscreta">
    <w:name w:val="Subtle Emphasis"/>
    <w:basedOn w:val="Tipodeletrapredefinidodopargrafo"/>
    <w:uiPriority w:val="19"/>
    <w:qFormat/>
    <w:rsid w:val="00D07B37"/>
    <w:rPr>
      <w:rFonts w:ascii="Arial" w:hAnsi="Arial" w:cs="Arial"/>
      <w:i/>
      <w:iCs/>
      <w:color w:val="404040" w:themeColor="text1" w:themeTint="BF"/>
    </w:rPr>
  </w:style>
  <w:style w:type="character" w:styleId="RefernciaDiscreta">
    <w:name w:val="Subtle Reference"/>
    <w:basedOn w:val="Tipodeletrapredefinidodopargrafo"/>
    <w:uiPriority w:val="31"/>
    <w:qFormat/>
    <w:rsid w:val="00D07B37"/>
    <w:rPr>
      <w:rFonts w:ascii="Arial" w:hAnsi="Arial" w:cs="Arial"/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D07B3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D07B3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D07B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D07B3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D07B3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D07B3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D07B3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D07B3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D07B3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D07B3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comcolunas1">
    <w:name w:val="Table Columns 1"/>
    <w:basedOn w:val="Tabelanormal"/>
    <w:uiPriority w:val="99"/>
    <w:semiHidden/>
    <w:unhideWhenUsed/>
    <w:rsid w:val="00D07B3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colunas2">
    <w:name w:val="Table Columns 2"/>
    <w:basedOn w:val="Tabelanormal"/>
    <w:uiPriority w:val="99"/>
    <w:semiHidden/>
    <w:unhideWhenUsed/>
    <w:rsid w:val="00D07B3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colunas3">
    <w:name w:val="Table Columns 3"/>
    <w:basedOn w:val="Tabelanormal"/>
    <w:uiPriority w:val="99"/>
    <w:semiHidden/>
    <w:unhideWhenUsed/>
    <w:rsid w:val="00D07B3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colunas4">
    <w:name w:val="Table Columns 4"/>
    <w:basedOn w:val="Tabelanormal"/>
    <w:uiPriority w:val="99"/>
    <w:semiHidden/>
    <w:unhideWhenUsed/>
    <w:rsid w:val="00D07B3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comcolunas5">
    <w:name w:val="Table Columns 5"/>
    <w:basedOn w:val="Tabelanormal"/>
    <w:uiPriority w:val="99"/>
    <w:semiHidden/>
    <w:unhideWhenUsed/>
    <w:rsid w:val="00D07B3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D07B3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D07B3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elha">
    <w:name w:val="Table Grid"/>
    <w:basedOn w:val="Tabelanormal"/>
    <w:uiPriority w:val="39"/>
    <w:rsid w:val="00D07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elha1">
    <w:name w:val="Table Grid 1"/>
    <w:basedOn w:val="Tabelanormal"/>
    <w:uiPriority w:val="99"/>
    <w:semiHidden/>
    <w:unhideWhenUsed/>
    <w:rsid w:val="00D07B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elha2">
    <w:name w:val="Table Grid 2"/>
    <w:basedOn w:val="Tabelanormal"/>
    <w:uiPriority w:val="99"/>
    <w:semiHidden/>
    <w:unhideWhenUsed/>
    <w:rsid w:val="00D07B3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elha3">
    <w:name w:val="Table Grid 3"/>
    <w:basedOn w:val="Tabelanormal"/>
    <w:uiPriority w:val="99"/>
    <w:semiHidden/>
    <w:unhideWhenUsed/>
    <w:rsid w:val="00D07B3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elha4">
    <w:name w:val="Table Grid 4"/>
    <w:basedOn w:val="Tabelanormal"/>
    <w:uiPriority w:val="99"/>
    <w:semiHidden/>
    <w:unhideWhenUsed/>
    <w:rsid w:val="00D07B3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elha5">
    <w:name w:val="Table Grid 5"/>
    <w:basedOn w:val="Tabelanormal"/>
    <w:uiPriority w:val="99"/>
    <w:semiHidden/>
    <w:unhideWhenUsed/>
    <w:rsid w:val="00D07B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elha6">
    <w:name w:val="Table Grid 6"/>
    <w:basedOn w:val="Tabelanormal"/>
    <w:uiPriority w:val="99"/>
    <w:semiHidden/>
    <w:unhideWhenUsed/>
    <w:rsid w:val="00D07B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elha7">
    <w:name w:val="Table Grid 7"/>
    <w:basedOn w:val="Tabelanormal"/>
    <w:uiPriority w:val="99"/>
    <w:semiHidden/>
    <w:unhideWhenUsed/>
    <w:rsid w:val="00D07B3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elha8">
    <w:name w:val="Table Grid 8"/>
    <w:basedOn w:val="Tabelanormal"/>
    <w:uiPriority w:val="99"/>
    <w:semiHidden/>
    <w:unhideWhenUsed/>
    <w:rsid w:val="00D07B3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elhaClara">
    <w:name w:val="Grid Table Light"/>
    <w:basedOn w:val="Tabelanormal"/>
    <w:uiPriority w:val="40"/>
    <w:rsid w:val="00D07B3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comlista1">
    <w:name w:val="Table List 1"/>
    <w:basedOn w:val="Tabelanormal"/>
    <w:uiPriority w:val="99"/>
    <w:semiHidden/>
    <w:unhideWhenUsed/>
    <w:rsid w:val="00D07B3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lista2">
    <w:name w:val="Table List 2"/>
    <w:basedOn w:val="Tabelanormal"/>
    <w:uiPriority w:val="99"/>
    <w:semiHidden/>
    <w:unhideWhenUsed/>
    <w:rsid w:val="00D07B3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lista3">
    <w:name w:val="Table List 3"/>
    <w:basedOn w:val="Tabelanormal"/>
    <w:uiPriority w:val="99"/>
    <w:semiHidden/>
    <w:unhideWhenUsed/>
    <w:rsid w:val="00D07B3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lista4">
    <w:name w:val="Table List 4"/>
    <w:basedOn w:val="Tabelanormal"/>
    <w:uiPriority w:val="99"/>
    <w:semiHidden/>
    <w:unhideWhenUsed/>
    <w:rsid w:val="00D07B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comlista5">
    <w:name w:val="Table List 5"/>
    <w:basedOn w:val="Tabelanormal"/>
    <w:uiPriority w:val="99"/>
    <w:semiHidden/>
    <w:unhideWhenUsed/>
    <w:rsid w:val="00D07B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lista6">
    <w:name w:val="Table List 6"/>
    <w:basedOn w:val="Tabelanormal"/>
    <w:uiPriority w:val="99"/>
    <w:semiHidden/>
    <w:unhideWhenUsed/>
    <w:rsid w:val="00D07B3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comlista7">
    <w:name w:val="Table List 7"/>
    <w:basedOn w:val="Tabelanormal"/>
    <w:uiPriority w:val="99"/>
    <w:semiHidden/>
    <w:unhideWhenUsed/>
    <w:rsid w:val="00D07B3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comlista8">
    <w:name w:val="Table List 8"/>
    <w:basedOn w:val="Tabelanormal"/>
    <w:uiPriority w:val="99"/>
    <w:semiHidden/>
    <w:unhideWhenUsed/>
    <w:rsid w:val="00D07B3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D07B37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D07B37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D07B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-1">
    <w:name w:val="Table Simple 1"/>
    <w:basedOn w:val="Tabelanormal"/>
    <w:uiPriority w:val="99"/>
    <w:semiHidden/>
    <w:unhideWhenUsed/>
    <w:rsid w:val="00D07B3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-2">
    <w:name w:val="Table Simple 2"/>
    <w:basedOn w:val="Tabelanormal"/>
    <w:uiPriority w:val="99"/>
    <w:semiHidden/>
    <w:unhideWhenUsed/>
    <w:rsid w:val="00D07B3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-3">
    <w:name w:val="Table Simple 3"/>
    <w:basedOn w:val="Tabelanormal"/>
    <w:uiPriority w:val="99"/>
    <w:semiHidden/>
    <w:unhideWhenUsed/>
    <w:rsid w:val="00D07B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discreta1">
    <w:name w:val="Table Subtle 1"/>
    <w:basedOn w:val="Tabelanormal"/>
    <w:uiPriority w:val="99"/>
    <w:semiHidden/>
    <w:unhideWhenUsed/>
    <w:rsid w:val="00D07B3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iscreta2">
    <w:name w:val="Table Subtle 2"/>
    <w:basedOn w:val="Tabelanormal"/>
    <w:uiPriority w:val="99"/>
    <w:semiHidden/>
    <w:unhideWhenUsed/>
    <w:rsid w:val="00D07B3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D07B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Web1">
    <w:name w:val="Table Web 1"/>
    <w:basedOn w:val="Tabelanormal"/>
    <w:uiPriority w:val="99"/>
    <w:semiHidden/>
    <w:unhideWhenUsed/>
    <w:rsid w:val="00D07B3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Web2">
    <w:name w:val="Table Web 2"/>
    <w:basedOn w:val="Tabelanormal"/>
    <w:uiPriority w:val="99"/>
    <w:semiHidden/>
    <w:unhideWhenUsed/>
    <w:rsid w:val="00D07B3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Web3">
    <w:name w:val="Table Web 3"/>
    <w:basedOn w:val="Tabelanormal"/>
    <w:uiPriority w:val="99"/>
    <w:semiHidden/>
    <w:unhideWhenUsed/>
    <w:rsid w:val="00D07B3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arter"/>
    <w:uiPriority w:val="10"/>
    <w:qFormat/>
    <w:rsid w:val="00D07B37"/>
    <w:pPr>
      <w:spacing w:after="0" w:line="240" w:lineRule="auto"/>
      <w:contextualSpacing/>
    </w:pPr>
    <w:rPr>
      <w:rFonts w:eastAsiaTheme="majorEastAsia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07B37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D07B37"/>
    <w:pPr>
      <w:spacing w:before="120"/>
    </w:pPr>
    <w:rPr>
      <w:rFonts w:eastAsiaTheme="majorEastAsia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D07B37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D07B37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D07B37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D07B37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D07B37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D07B37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D07B37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D07B37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D07B37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D07B37"/>
    <w:pPr>
      <w:numPr>
        <w:numId w:val="0"/>
      </w:num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919</Words>
  <Characters>5367</Characters>
  <Application>Microsoft Office Word</Application>
  <DocSecurity>0</DocSecurity>
  <Lines>162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Norgine</Company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Vila-Real</dc:creator>
  <cp:keywords/>
  <dc:description/>
  <cp:lastModifiedBy>Paula Guimaraes</cp:lastModifiedBy>
  <cp:revision>11</cp:revision>
  <dcterms:created xsi:type="dcterms:W3CDTF">2023-03-14T15:42:00Z</dcterms:created>
  <dcterms:modified xsi:type="dcterms:W3CDTF">2026-10-26T11:14:00Z</dcterms:modified>
</cp:coreProperties>
</file>